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9F" w:rsidRPr="003E2C9F" w:rsidRDefault="00297516" w:rsidP="00EA3AF4">
      <w:pPr>
        <w:spacing w:line="360" w:lineRule="auto"/>
        <w:ind w:left="708" w:hanging="708"/>
        <w:jc w:val="center"/>
        <w:rPr>
          <w:rFonts w:ascii="Arial" w:hAnsi="Arial" w:cs="Arial"/>
        </w:rPr>
      </w:pPr>
      <w:r w:rsidRPr="00297516">
        <w:rPr>
          <w:rFonts w:ascii="Arial" w:hAnsi="Arial" w:cs="Arial"/>
          <w:noProof/>
          <w:lang w:eastAsia="es-ES"/>
        </w:rPr>
        <w:drawing>
          <wp:inline distT="0" distB="0" distL="0" distR="0">
            <wp:extent cx="3538979" cy="685800"/>
            <wp:effectExtent l="0" t="0" r="4445" b="0"/>
            <wp:docPr id="3" name="Imagen 3"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2710" cy="690399"/>
                    </a:xfrm>
                    <a:prstGeom prst="rect">
                      <a:avLst/>
                    </a:prstGeom>
                    <a:noFill/>
                    <a:ln>
                      <a:noFill/>
                    </a:ln>
                  </pic:spPr>
                </pic:pic>
              </a:graphicData>
            </a:graphic>
          </wp:inline>
        </w:drawing>
      </w:r>
    </w:p>
    <w:p w:rsidR="003E2C9F" w:rsidRPr="00C22179" w:rsidRDefault="003E2C9F" w:rsidP="000773DC">
      <w:pPr>
        <w:pStyle w:val="Default"/>
        <w:spacing w:line="360" w:lineRule="auto"/>
        <w:jc w:val="center"/>
        <w:rPr>
          <w:szCs w:val="22"/>
        </w:rPr>
      </w:pPr>
      <w:r w:rsidRPr="00C22179">
        <w:rPr>
          <w:b/>
          <w:bCs/>
          <w:szCs w:val="22"/>
        </w:rPr>
        <w:t>Listado de Especies Silvestres en Régimen de Protección Especial-Catálogo Vasco de Especies Amenazadas de la fauna y flora</w:t>
      </w:r>
    </w:p>
    <w:p w:rsidR="003E2C9F" w:rsidRPr="00C22179" w:rsidRDefault="003E2C9F" w:rsidP="000773DC">
      <w:pPr>
        <w:pStyle w:val="Default"/>
        <w:spacing w:line="360" w:lineRule="auto"/>
        <w:jc w:val="center"/>
        <w:rPr>
          <w:szCs w:val="22"/>
        </w:rPr>
      </w:pPr>
      <w:r w:rsidRPr="00C22179">
        <w:rPr>
          <w:b/>
          <w:bCs/>
          <w:szCs w:val="22"/>
        </w:rPr>
        <w:t>(R.D. 167/1996)</w:t>
      </w:r>
    </w:p>
    <w:p w:rsidR="003E2C9F" w:rsidRPr="00C22179" w:rsidRDefault="003E2C9F" w:rsidP="00650942">
      <w:pPr>
        <w:pStyle w:val="Default"/>
        <w:spacing w:line="360" w:lineRule="auto"/>
        <w:jc w:val="center"/>
      </w:pPr>
      <w:r w:rsidRPr="00C22179">
        <w:rPr>
          <w:b/>
          <w:bCs/>
          <w:szCs w:val="22"/>
        </w:rPr>
        <w:t xml:space="preserve">Propuesta de inclusión en el CVEA de </w:t>
      </w:r>
      <w:proofErr w:type="spellStart"/>
      <w:r w:rsidR="001D4573" w:rsidRPr="001D4573">
        <w:rPr>
          <w:b/>
          <w:bCs/>
          <w:i/>
          <w:szCs w:val="22"/>
        </w:rPr>
        <w:t>Onychogomphus</w:t>
      </w:r>
      <w:proofErr w:type="spellEnd"/>
      <w:r w:rsidR="001D4573" w:rsidRPr="001D4573">
        <w:rPr>
          <w:b/>
          <w:bCs/>
          <w:i/>
          <w:szCs w:val="22"/>
        </w:rPr>
        <w:t xml:space="preserve"> </w:t>
      </w:r>
      <w:proofErr w:type="spellStart"/>
      <w:r w:rsidR="00043875" w:rsidRPr="00043875">
        <w:rPr>
          <w:b/>
          <w:bCs/>
          <w:i/>
          <w:szCs w:val="22"/>
        </w:rPr>
        <w:t>costae</w:t>
      </w:r>
      <w:proofErr w:type="spellEnd"/>
      <w:r w:rsidR="00043875" w:rsidRPr="00043875">
        <w:rPr>
          <w:b/>
          <w:bCs/>
          <w:i/>
          <w:szCs w:val="22"/>
        </w:rPr>
        <w:t xml:space="preserve"> </w:t>
      </w:r>
      <w:proofErr w:type="spellStart"/>
      <w:r w:rsidR="00043875" w:rsidRPr="00043875">
        <w:rPr>
          <w:b/>
          <w:bCs/>
          <w:szCs w:val="22"/>
        </w:rPr>
        <w:t>Sélys</w:t>
      </w:r>
      <w:proofErr w:type="spellEnd"/>
      <w:r w:rsidR="00043875" w:rsidRPr="00043875">
        <w:rPr>
          <w:b/>
          <w:bCs/>
          <w:szCs w:val="22"/>
        </w:rPr>
        <w:t>, 1885</w:t>
      </w:r>
      <w:r w:rsidR="00650942" w:rsidRPr="00043875">
        <w:rPr>
          <w:b/>
          <w:bCs/>
          <w:szCs w:val="22"/>
        </w:rPr>
        <w:t xml:space="preserve"> </w:t>
      </w:r>
      <w:r w:rsidRPr="00C22179">
        <w:rPr>
          <w:b/>
          <w:bCs/>
        </w:rPr>
        <w:t>en la categoría</w:t>
      </w:r>
      <w:r w:rsidR="0080307F">
        <w:rPr>
          <w:b/>
          <w:bCs/>
        </w:rPr>
        <w:t xml:space="preserve"> de</w:t>
      </w:r>
      <w:r w:rsidRPr="00C22179">
        <w:rPr>
          <w:b/>
          <w:bCs/>
        </w:rPr>
        <w:t xml:space="preserve"> “</w:t>
      </w:r>
      <w:r w:rsidR="00C91A60">
        <w:rPr>
          <w:b/>
          <w:bCs/>
        </w:rPr>
        <w:t>VULNERABLE (VU)</w:t>
      </w:r>
      <w:r w:rsidRPr="00C22179">
        <w:rPr>
          <w:b/>
          <w:bCs/>
        </w:rPr>
        <w:t>”</w:t>
      </w:r>
    </w:p>
    <w:tbl>
      <w:tblPr>
        <w:tblStyle w:val="Tablaconcuadrcula"/>
        <w:tblW w:w="8896" w:type="dxa"/>
        <w:tblLayout w:type="fixed"/>
        <w:tblLook w:val="04A0" w:firstRow="1" w:lastRow="0" w:firstColumn="1" w:lastColumn="0" w:noHBand="0" w:noVBand="1"/>
      </w:tblPr>
      <w:tblGrid>
        <w:gridCol w:w="1951"/>
        <w:gridCol w:w="1134"/>
        <w:gridCol w:w="284"/>
        <w:gridCol w:w="4251"/>
        <w:gridCol w:w="1276"/>
      </w:tblGrid>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científico</w:t>
            </w:r>
          </w:p>
        </w:tc>
        <w:tc>
          <w:tcPr>
            <w:tcW w:w="6945" w:type="dxa"/>
            <w:gridSpan w:val="4"/>
          </w:tcPr>
          <w:p w:rsidR="0010015A" w:rsidRDefault="001D4573" w:rsidP="00146247">
            <w:pPr>
              <w:spacing w:before="240" w:line="276" w:lineRule="auto"/>
              <w:rPr>
                <w:rFonts w:ascii="Arial" w:hAnsi="Arial" w:cs="Arial"/>
              </w:rPr>
            </w:pPr>
            <w:proofErr w:type="spellStart"/>
            <w:r w:rsidRPr="001D4573">
              <w:rPr>
                <w:rFonts w:ascii="Arial" w:hAnsi="Arial" w:cs="Arial"/>
                <w:i/>
              </w:rPr>
              <w:t>Onychogomphus</w:t>
            </w:r>
            <w:proofErr w:type="spellEnd"/>
            <w:r w:rsidRPr="001D4573">
              <w:rPr>
                <w:rFonts w:ascii="Arial" w:hAnsi="Arial" w:cs="Arial"/>
                <w:i/>
              </w:rPr>
              <w:t xml:space="preserve"> </w:t>
            </w:r>
            <w:proofErr w:type="spellStart"/>
            <w:r w:rsidR="00043875" w:rsidRPr="00043875">
              <w:rPr>
                <w:rFonts w:ascii="Arial" w:hAnsi="Arial" w:cs="Arial"/>
                <w:i/>
              </w:rPr>
              <w:t>costae</w:t>
            </w:r>
            <w:proofErr w:type="spellEnd"/>
            <w:r w:rsidR="00043875" w:rsidRPr="00043875">
              <w:rPr>
                <w:rFonts w:ascii="Arial" w:hAnsi="Arial" w:cs="Arial"/>
                <w:i/>
              </w:rPr>
              <w:t xml:space="preserve"> </w:t>
            </w:r>
            <w:proofErr w:type="spellStart"/>
            <w:r w:rsidR="00043875" w:rsidRPr="00043875">
              <w:rPr>
                <w:rFonts w:ascii="Arial" w:hAnsi="Arial" w:cs="Arial"/>
              </w:rPr>
              <w:t>Sélys</w:t>
            </w:r>
            <w:proofErr w:type="spellEnd"/>
            <w:r w:rsidR="00043875" w:rsidRPr="00043875">
              <w:rPr>
                <w:rFonts w:ascii="Arial" w:hAnsi="Arial" w:cs="Arial"/>
              </w:rPr>
              <w:t>, 1885</w:t>
            </w:r>
          </w:p>
          <w:p w:rsidR="00221128" w:rsidRDefault="00221128" w:rsidP="00146247">
            <w:pPr>
              <w:spacing w:before="240" w:line="276" w:lineRule="auto"/>
              <w:rPr>
                <w:rFonts w:ascii="Arial" w:hAnsi="Arial" w:cs="Arial"/>
              </w:rPr>
            </w:pPr>
            <w:r>
              <w:rPr>
                <w:rFonts w:ascii="Arial" w:hAnsi="Arial" w:cs="Arial"/>
                <w:noProof/>
                <w:lang w:eastAsia="es-ES"/>
              </w:rPr>
              <w:drawing>
                <wp:inline distT="0" distB="0" distL="0" distR="0">
                  <wp:extent cx="4212707" cy="28098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nychogomphus costa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38402" cy="2827013"/>
                          </a:xfrm>
                          <a:prstGeom prst="rect">
                            <a:avLst/>
                          </a:prstGeom>
                        </pic:spPr>
                      </pic:pic>
                    </a:graphicData>
                  </a:graphic>
                </wp:inline>
              </w:drawing>
            </w:r>
          </w:p>
          <w:p w:rsidR="00221128" w:rsidRDefault="00221128" w:rsidP="00146247">
            <w:pPr>
              <w:spacing w:before="240" w:line="276" w:lineRule="auto"/>
              <w:rPr>
                <w:rFonts w:ascii="Arial" w:hAnsi="Arial" w:cs="Arial"/>
              </w:rPr>
            </w:pPr>
            <w:r>
              <w:rPr>
                <w:rFonts w:ascii="Arial" w:hAnsi="Arial" w:cs="Arial"/>
              </w:rPr>
              <w:t>Foto: Iñaki Mezquita</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euskera</w:t>
            </w:r>
          </w:p>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castellano</w:t>
            </w:r>
          </w:p>
        </w:tc>
        <w:tc>
          <w:tcPr>
            <w:tcW w:w="6945" w:type="dxa"/>
            <w:gridSpan w:val="4"/>
          </w:tcPr>
          <w:p w:rsidR="009A6413" w:rsidRDefault="009A6413" w:rsidP="00146247">
            <w:pPr>
              <w:spacing w:before="240" w:line="276" w:lineRule="auto"/>
              <w:rPr>
                <w:rFonts w:ascii="Arial" w:hAnsi="Arial" w:cs="Arial"/>
              </w:rPr>
            </w:pPr>
          </w:p>
        </w:tc>
      </w:tr>
      <w:tr w:rsidR="0077099F" w:rsidTr="005D3AFA">
        <w:trPr>
          <w:trHeight w:val="3005"/>
        </w:trPr>
        <w:tc>
          <w:tcPr>
            <w:tcW w:w="1951" w:type="dxa"/>
            <w:shd w:val="clear" w:color="auto" w:fill="BFBFBF" w:themeFill="background1" w:themeFillShade="BF"/>
          </w:tcPr>
          <w:p w:rsidR="0077099F" w:rsidRPr="00146247" w:rsidRDefault="0077099F" w:rsidP="00146247">
            <w:pPr>
              <w:spacing w:before="240" w:line="360" w:lineRule="auto"/>
              <w:rPr>
                <w:rFonts w:ascii="Arial" w:hAnsi="Arial" w:cs="Arial"/>
                <w:b/>
                <w:sz w:val="20"/>
              </w:rPr>
            </w:pPr>
            <w:r w:rsidRPr="00146247">
              <w:rPr>
                <w:rFonts w:ascii="Arial" w:hAnsi="Arial" w:cs="Arial"/>
                <w:b/>
                <w:sz w:val="20"/>
              </w:rPr>
              <w:lastRenderedPageBreak/>
              <w:t>Posición taxonómica</w:t>
            </w:r>
          </w:p>
        </w:tc>
        <w:tc>
          <w:tcPr>
            <w:tcW w:w="1418" w:type="dxa"/>
            <w:gridSpan w:val="2"/>
            <w:tcBorders>
              <w:right w:val="nil"/>
            </w:tcBorders>
          </w:tcPr>
          <w:p w:rsidR="0077099F" w:rsidRPr="00F02E87" w:rsidRDefault="0077099F" w:rsidP="00146247">
            <w:pPr>
              <w:spacing w:before="240" w:line="276" w:lineRule="auto"/>
              <w:rPr>
                <w:rFonts w:ascii="Arial" w:hAnsi="Arial" w:cs="Arial"/>
              </w:rPr>
            </w:pPr>
            <w:r>
              <w:rPr>
                <w:rFonts w:ascii="Arial" w:hAnsi="Arial" w:cs="Arial"/>
              </w:rPr>
              <w:t>Reino:</w:t>
            </w:r>
          </w:p>
          <w:p w:rsidR="0077099F" w:rsidRPr="00F02E87" w:rsidRDefault="0077099F" w:rsidP="00146247">
            <w:pPr>
              <w:spacing w:line="276" w:lineRule="auto"/>
              <w:rPr>
                <w:rFonts w:ascii="Arial" w:hAnsi="Arial" w:cs="Arial"/>
              </w:rPr>
            </w:pPr>
            <w:r>
              <w:rPr>
                <w:rFonts w:ascii="Arial" w:hAnsi="Arial" w:cs="Arial"/>
              </w:rPr>
              <w:t>Filo:</w:t>
            </w:r>
          </w:p>
          <w:p w:rsidR="0077099F" w:rsidRPr="00F02E87" w:rsidRDefault="0077099F" w:rsidP="00146247">
            <w:pPr>
              <w:spacing w:line="276" w:lineRule="auto"/>
              <w:rPr>
                <w:rFonts w:ascii="Arial" w:hAnsi="Arial" w:cs="Arial"/>
              </w:rPr>
            </w:pPr>
            <w:r>
              <w:rPr>
                <w:rFonts w:ascii="Arial" w:hAnsi="Arial" w:cs="Arial"/>
              </w:rPr>
              <w:t>Subfilo:</w:t>
            </w:r>
          </w:p>
          <w:p w:rsidR="0077099F" w:rsidRPr="00F02E87" w:rsidRDefault="0077099F" w:rsidP="00146247">
            <w:pPr>
              <w:spacing w:line="276" w:lineRule="auto"/>
              <w:rPr>
                <w:rFonts w:ascii="Arial" w:hAnsi="Arial" w:cs="Arial"/>
              </w:rPr>
            </w:pPr>
            <w:r>
              <w:rPr>
                <w:rFonts w:ascii="Arial" w:hAnsi="Arial" w:cs="Arial"/>
              </w:rPr>
              <w:t>Clase:</w:t>
            </w:r>
          </w:p>
          <w:p w:rsidR="0077099F" w:rsidRDefault="0077099F" w:rsidP="00146247">
            <w:pPr>
              <w:spacing w:line="276" w:lineRule="auto"/>
              <w:rPr>
                <w:rFonts w:ascii="Arial" w:hAnsi="Arial" w:cs="Arial"/>
              </w:rPr>
            </w:pPr>
            <w:r>
              <w:rPr>
                <w:rFonts w:ascii="Arial" w:hAnsi="Arial" w:cs="Arial"/>
              </w:rPr>
              <w:t>Orden:</w:t>
            </w:r>
          </w:p>
          <w:p w:rsidR="0077099F" w:rsidRPr="00F02E87" w:rsidRDefault="00055236" w:rsidP="00146247">
            <w:pPr>
              <w:spacing w:line="276" w:lineRule="auto"/>
              <w:rPr>
                <w:rFonts w:ascii="Arial" w:hAnsi="Arial" w:cs="Arial"/>
              </w:rPr>
            </w:pPr>
            <w:proofErr w:type="spellStart"/>
            <w:r>
              <w:rPr>
                <w:rFonts w:ascii="Arial" w:hAnsi="Arial" w:cs="Arial"/>
              </w:rPr>
              <w:t>Infra</w:t>
            </w:r>
            <w:r w:rsidR="0077099F">
              <w:rPr>
                <w:rFonts w:ascii="Arial" w:hAnsi="Arial" w:cs="Arial"/>
              </w:rPr>
              <w:t>orden</w:t>
            </w:r>
            <w:proofErr w:type="spellEnd"/>
            <w:r w:rsidR="0077099F">
              <w:rPr>
                <w:rFonts w:ascii="Arial" w:hAnsi="Arial" w:cs="Arial"/>
              </w:rPr>
              <w:t>:</w:t>
            </w:r>
          </w:p>
          <w:p w:rsidR="0077099F" w:rsidRDefault="0077099F" w:rsidP="00146247">
            <w:pPr>
              <w:spacing w:line="276" w:lineRule="auto"/>
              <w:rPr>
                <w:rFonts w:ascii="Arial" w:hAnsi="Arial" w:cs="Arial"/>
              </w:rPr>
            </w:pPr>
            <w:r>
              <w:rPr>
                <w:rFonts w:ascii="Arial" w:hAnsi="Arial" w:cs="Arial"/>
              </w:rPr>
              <w:t xml:space="preserve">Familia: </w:t>
            </w:r>
          </w:p>
          <w:p w:rsidR="0077099F" w:rsidRDefault="0077099F" w:rsidP="00146247">
            <w:pPr>
              <w:spacing w:line="276" w:lineRule="auto"/>
              <w:rPr>
                <w:rFonts w:ascii="Arial" w:hAnsi="Arial" w:cs="Arial"/>
              </w:rPr>
            </w:pPr>
            <w:r>
              <w:rPr>
                <w:rFonts w:ascii="Arial" w:hAnsi="Arial" w:cs="Arial"/>
              </w:rPr>
              <w:t>Género:</w:t>
            </w:r>
          </w:p>
          <w:p w:rsidR="0077099F" w:rsidRDefault="0077099F" w:rsidP="00146247">
            <w:pPr>
              <w:spacing w:line="276" w:lineRule="auto"/>
              <w:rPr>
                <w:rFonts w:ascii="Arial" w:hAnsi="Arial" w:cs="Arial"/>
              </w:rPr>
            </w:pPr>
            <w:r>
              <w:rPr>
                <w:rFonts w:ascii="Arial" w:hAnsi="Arial" w:cs="Arial"/>
              </w:rPr>
              <w:t>Especie:</w:t>
            </w:r>
          </w:p>
        </w:tc>
        <w:tc>
          <w:tcPr>
            <w:tcW w:w="5527" w:type="dxa"/>
            <w:gridSpan w:val="2"/>
            <w:tcBorders>
              <w:left w:val="nil"/>
            </w:tcBorders>
          </w:tcPr>
          <w:p w:rsidR="0077099F" w:rsidRDefault="0077099F" w:rsidP="00146247">
            <w:pPr>
              <w:spacing w:before="240" w:line="276" w:lineRule="auto"/>
              <w:rPr>
                <w:rFonts w:ascii="Arial" w:hAnsi="Arial" w:cs="Arial"/>
              </w:rPr>
            </w:pPr>
            <w:r w:rsidRPr="00F02E87">
              <w:rPr>
                <w:rFonts w:ascii="Arial" w:hAnsi="Arial" w:cs="Arial"/>
              </w:rPr>
              <w:t>Animalia</w:t>
            </w:r>
          </w:p>
          <w:p w:rsidR="0077099F" w:rsidRDefault="0077099F" w:rsidP="00146247">
            <w:pPr>
              <w:spacing w:line="276" w:lineRule="auto"/>
              <w:rPr>
                <w:rFonts w:ascii="Arial" w:hAnsi="Arial" w:cs="Arial"/>
              </w:rPr>
            </w:pPr>
            <w:proofErr w:type="spellStart"/>
            <w:r>
              <w:rPr>
                <w:rFonts w:ascii="Arial" w:hAnsi="Arial" w:cs="Arial"/>
              </w:rPr>
              <w:t>Arthropoda</w:t>
            </w:r>
            <w:proofErr w:type="spellEnd"/>
          </w:p>
          <w:p w:rsidR="0077099F" w:rsidRDefault="0077099F" w:rsidP="00146247">
            <w:pPr>
              <w:spacing w:line="276" w:lineRule="auto"/>
              <w:rPr>
                <w:rFonts w:ascii="Arial" w:hAnsi="Arial" w:cs="Arial"/>
              </w:rPr>
            </w:pPr>
            <w:proofErr w:type="spellStart"/>
            <w:r>
              <w:rPr>
                <w:rFonts w:ascii="Arial" w:hAnsi="Arial" w:cs="Arial"/>
              </w:rPr>
              <w:t>Hexapoda</w:t>
            </w:r>
            <w:proofErr w:type="spellEnd"/>
          </w:p>
          <w:p w:rsidR="0077099F" w:rsidRDefault="0077099F" w:rsidP="00146247">
            <w:pPr>
              <w:spacing w:line="276" w:lineRule="auto"/>
              <w:rPr>
                <w:rFonts w:ascii="Arial" w:hAnsi="Arial" w:cs="Arial"/>
              </w:rPr>
            </w:pPr>
            <w:proofErr w:type="spellStart"/>
            <w:r>
              <w:rPr>
                <w:rFonts w:ascii="Arial" w:hAnsi="Arial" w:cs="Arial"/>
              </w:rPr>
              <w:t>Insecta</w:t>
            </w:r>
            <w:proofErr w:type="spellEnd"/>
          </w:p>
          <w:p w:rsidR="0077099F" w:rsidRDefault="0077099F" w:rsidP="00146247">
            <w:pPr>
              <w:spacing w:line="276" w:lineRule="auto"/>
              <w:rPr>
                <w:rFonts w:ascii="Arial" w:hAnsi="Arial" w:cs="Arial"/>
              </w:rPr>
            </w:pPr>
            <w:proofErr w:type="spellStart"/>
            <w:r>
              <w:rPr>
                <w:rFonts w:ascii="Arial" w:hAnsi="Arial" w:cs="Arial"/>
              </w:rPr>
              <w:t>Odonata</w:t>
            </w:r>
            <w:proofErr w:type="spellEnd"/>
          </w:p>
          <w:p w:rsidR="0077099F" w:rsidRDefault="00055236" w:rsidP="00146247">
            <w:pPr>
              <w:spacing w:line="276" w:lineRule="auto"/>
              <w:rPr>
                <w:rFonts w:ascii="Arial" w:hAnsi="Arial" w:cs="Arial"/>
              </w:rPr>
            </w:pPr>
            <w:proofErr w:type="spellStart"/>
            <w:r>
              <w:rPr>
                <w:rFonts w:ascii="Arial" w:hAnsi="Arial" w:cs="Arial"/>
              </w:rPr>
              <w:t>Anisoptera</w:t>
            </w:r>
            <w:proofErr w:type="spellEnd"/>
          </w:p>
          <w:p w:rsidR="0077099F" w:rsidRDefault="001D4573" w:rsidP="00146247">
            <w:pPr>
              <w:spacing w:line="276" w:lineRule="auto"/>
              <w:rPr>
                <w:rFonts w:ascii="Arial" w:hAnsi="Arial" w:cs="Arial"/>
              </w:rPr>
            </w:pPr>
            <w:proofErr w:type="spellStart"/>
            <w:r>
              <w:rPr>
                <w:rFonts w:ascii="Arial" w:hAnsi="Arial" w:cs="Arial"/>
              </w:rPr>
              <w:t>Gomphidae</w:t>
            </w:r>
            <w:proofErr w:type="spellEnd"/>
          </w:p>
          <w:p w:rsidR="0094292F" w:rsidRPr="0080307F" w:rsidRDefault="001D4573" w:rsidP="00146247">
            <w:pPr>
              <w:spacing w:line="276" w:lineRule="auto"/>
              <w:rPr>
                <w:rFonts w:ascii="Arial" w:hAnsi="Arial" w:cs="Arial"/>
                <w:i/>
              </w:rPr>
            </w:pPr>
            <w:proofErr w:type="spellStart"/>
            <w:r w:rsidRPr="0080307F">
              <w:rPr>
                <w:rFonts w:ascii="Arial" w:hAnsi="Arial" w:cs="Arial"/>
                <w:i/>
              </w:rPr>
              <w:t>Onychogomphus</w:t>
            </w:r>
            <w:proofErr w:type="spellEnd"/>
          </w:p>
          <w:p w:rsidR="0077099F" w:rsidRPr="00055236" w:rsidRDefault="001D4573" w:rsidP="00043875">
            <w:pPr>
              <w:spacing w:line="276" w:lineRule="auto"/>
              <w:rPr>
                <w:rFonts w:ascii="Arial" w:hAnsi="Arial" w:cs="Arial"/>
                <w:i/>
              </w:rPr>
            </w:pPr>
            <w:proofErr w:type="spellStart"/>
            <w:r w:rsidRPr="001D4573">
              <w:rPr>
                <w:rFonts w:ascii="Arial" w:hAnsi="Arial" w:cs="Arial"/>
                <w:i/>
              </w:rPr>
              <w:t>Onychogomphus</w:t>
            </w:r>
            <w:proofErr w:type="spellEnd"/>
            <w:r w:rsidRPr="001D4573">
              <w:rPr>
                <w:rFonts w:ascii="Arial" w:hAnsi="Arial" w:cs="Arial"/>
                <w:i/>
              </w:rPr>
              <w:t xml:space="preserve"> </w:t>
            </w:r>
            <w:proofErr w:type="spellStart"/>
            <w:r w:rsidR="00043875">
              <w:rPr>
                <w:rFonts w:ascii="Arial" w:hAnsi="Arial" w:cs="Arial"/>
                <w:i/>
              </w:rPr>
              <w:t>costae</w:t>
            </w:r>
            <w:proofErr w:type="spellEnd"/>
          </w:p>
        </w:tc>
      </w:tr>
      <w:tr w:rsidR="003E2C9F" w:rsidTr="00297516">
        <w:trPr>
          <w:trHeight w:val="949"/>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Observaciones taxonómicas</w:t>
            </w:r>
          </w:p>
        </w:tc>
        <w:tc>
          <w:tcPr>
            <w:tcW w:w="6945" w:type="dxa"/>
            <w:gridSpan w:val="4"/>
          </w:tcPr>
          <w:p w:rsidR="001D4573" w:rsidRPr="00043875" w:rsidRDefault="007D377E" w:rsidP="00043875">
            <w:pPr>
              <w:spacing w:before="240" w:line="276" w:lineRule="auto"/>
              <w:rPr>
                <w:rFonts w:ascii="Verdana" w:hAnsi="Verdana"/>
                <w:color w:val="000000"/>
                <w:sz w:val="18"/>
                <w:szCs w:val="18"/>
                <w:shd w:val="clear" w:color="auto" w:fill="FFFFFF"/>
              </w:rPr>
            </w:pPr>
            <w:r w:rsidRPr="00650942">
              <w:rPr>
                <w:rFonts w:ascii="Arial" w:hAnsi="Arial" w:cs="Arial"/>
              </w:rPr>
              <w:t xml:space="preserve">Sinonimia: </w:t>
            </w:r>
            <w:proofErr w:type="spellStart"/>
            <w:r w:rsidR="001D4573" w:rsidRPr="001D4573">
              <w:rPr>
                <w:rStyle w:val="name"/>
                <w:rFonts w:ascii="Arial" w:hAnsi="Arial" w:cs="Arial"/>
                <w:i/>
                <w:iCs/>
                <w:color w:val="000000"/>
                <w:szCs w:val="18"/>
                <w:shd w:val="clear" w:color="auto" w:fill="FFFFFF"/>
              </w:rPr>
              <w:t>Paragomphus</w:t>
            </w:r>
            <w:proofErr w:type="spellEnd"/>
            <w:r w:rsidR="001D4573" w:rsidRPr="001D4573">
              <w:rPr>
                <w:rFonts w:ascii="Arial" w:hAnsi="Arial" w:cs="Arial"/>
                <w:i/>
                <w:iCs/>
                <w:color w:val="000000"/>
                <w:szCs w:val="18"/>
                <w:shd w:val="clear" w:color="auto" w:fill="FFFFFF"/>
              </w:rPr>
              <w:t> </w:t>
            </w:r>
            <w:proofErr w:type="spellStart"/>
            <w:r w:rsidR="00043875" w:rsidRPr="00043875">
              <w:rPr>
                <w:rStyle w:val="name"/>
                <w:rFonts w:ascii="Arial" w:hAnsi="Arial" w:cs="Arial"/>
                <w:i/>
                <w:iCs/>
                <w:color w:val="000000"/>
                <w:szCs w:val="18"/>
                <w:shd w:val="clear" w:color="auto" w:fill="FFFFFF"/>
              </w:rPr>
              <w:t>costa</w:t>
            </w:r>
            <w:r w:rsidR="00043875">
              <w:rPr>
                <w:rStyle w:val="name"/>
                <w:rFonts w:ascii="Arial" w:hAnsi="Arial" w:cs="Arial"/>
                <w:i/>
                <w:iCs/>
                <w:color w:val="000000"/>
                <w:szCs w:val="18"/>
                <w:shd w:val="clear" w:color="auto" w:fill="FFFFFF"/>
              </w:rPr>
              <w:t>e</w:t>
            </w:r>
            <w:proofErr w:type="spellEnd"/>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Propuesta</w:t>
            </w:r>
          </w:p>
        </w:tc>
        <w:tc>
          <w:tcPr>
            <w:tcW w:w="6945" w:type="dxa"/>
            <w:gridSpan w:val="4"/>
          </w:tcPr>
          <w:p w:rsidR="003E2C9F" w:rsidRPr="00F02E87" w:rsidRDefault="007D377E" w:rsidP="00C91A60">
            <w:pPr>
              <w:autoSpaceDE w:val="0"/>
              <w:autoSpaceDN w:val="0"/>
              <w:adjustRightInd w:val="0"/>
              <w:spacing w:before="240" w:line="276" w:lineRule="auto"/>
              <w:jc w:val="both"/>
              <w:rPr>
                <w:rFonts w:ascii="Arial" w:hAnsi="Arial" w:cs="Arial"/>
                <w:color w:val="000000"/>
                <w:szCs w:val="24"/>
              </w:rPr>
            </w:pPr>
            <w:r>
              <w:rPr>
                <w:rFonts w:ascii="Arial" w:hAnsi="Arial" w:cs="Arial"/>
                <w:color w:val="000000"/>
                <w:szCs w:val="24"/>
              </w:rPr>
              <w:t xml:space="preserve">Se propone la </w:t>
            </w:r>
            <w:r w:rsidR="00EE7D3E">
              <w:rPr>
                <w:rFonts w:ascii="Arial" w:hAnsi="Arial" w:cs="Arial"/>
                <w:color w:val="000000"/>
                <w:szCs w:val="24"/>
              </w:rPr>
              <w:t>inclusión</w:t>
            </w:r>
            <w:r w:rsidRPr="00F02E87">
              <w:rPr>
                <w:rFonts w:ascii="Arial" w:hAnsi="Arial" w:cs="Arial"/>
                <w:color w:val="000000"/>
                <w:szCs w:val="24"/>
              </w:rPr>
              <w:t xml:space="preserve"> de la especie </w:t>
            </w:r>
            <w:proofErr w:type="spellStart"/>
            <w:r w:rsidR="001D4573" w:rsidRPr="001D4573">
              <w:rPr>
                <w:rFonts w:ascii="Arial" w:hAnsi="Arial" w:cs="Arial"/>
                <w:i/>
              </w:rPr>
              <w:t>Onychogomphus</w:t>
            </w:r>
            <w:proofErr w:type="spellEnd"/>
            <w:r w:rsidR="001D4573" w:rsidRPr="001D4573">
              <w:rPr>
                <w:rFonts w:ascii="Arial" w:hAnsi="Arial" w:cs="Arial"/>
                <w:i/>
              </w:rPr>
              <w:t xml:space="preserve"> </w:t>
            </w:r>
            <w:proofErr w:type="spellStart"/>
            <w:r w:rsidR="00043875" w:rsidRPr="00043875">
              <w:rPr>
                <w:rFonts w:ascii="Arial" w:hAnsi="Arial" w:cs="Arial"/>
                <w:i/>
              </w:rPr>
              <w:t>costae</w:t>
            </w:r>
            <w:proofErr w:type="spellEnd"/>
            <w:r w:rsidR="00043875" w:rsidRPr="00043875">
              <w:rPr>
                <w:rFonts w:ascii="Arial" w:hAnsi="Arial" w:cs="Arial"/>
                <w:i/>
              </w:rPr>
              <w:t xml:space="preserve"> </w:t>
            </w:r>
            <w:proofErr w:type="spellStart"/>
            <w:r w:rsidR="00043875" w:rsidRPr="00043875">
              <w:rPr>
                <w:rFonts w:ascii="Arial" w:hAnsi="Arial" w:cs="Arial"/>
              </w:rPr>
              <w:t>Sélys</w:t>
            </w:r>
            <w:proofErr w:type="spellEnd"/>
            <w:r w:rsidR="00043875" w:rsidRPr="00043875">
              <w:rPr>
                <w:rFonts w:ascii="Arial" w:hAnsi="Arial" w:cs="Arial"/>
              </w:rPr>
              <w:t>, 1885</w:t>
            </w:r>
            <w:r>
              <w:rPr>
                <w:rFonts w:ascii="Arial" w:hAnsi="Arial" w:cs="Arial"/>
              </w:rPr>
              <w:t xml:space="preserve"> </w:t>
            </w:r>
            <w:r w:rsidR="00EE7D3E">
              <w:rPr>
                <w:rFonts w:ascii="Arial" w:hAnsi="Arial" w:cs="Arial"/>
                <w:color w:val="000000"/>
                <w:szCs w:val="24"/>
              </w:rPr>
              <w:t xml:space="preserve">en </w:t>
            </w:r>
            <w:r w:rsidRPr="00F02E87">
              <w:rPr>
                <w:rFonts w:ascii="Arial" w:hAnsi="Arial" w:cs="Arial"/>
                <w:color w:val="000000"/>
                <w:szCs w:val="24"/>
              </w:rPr>
              <w:t>el Catálogo Vasco de Especies Amenazadas en la categoría de “</w:t>
            </w:r>
            <w:r w:rsidR="00C91A60">
              <w:rPr>
                <w:rFonts w:ascii="Arial" w:hAnsi="Arial" w:cs="Arial"/>
                <w:color w:val="000000"/>
                <w:szCs w:val="24"/>
              </w:rPr>
              <w:t>VULNERABLE (VU)</w:t>
            </w:r>
            <w:r>
              <w:rPr>
                <w:rFonts w:ascii="Arial" w:hAnsi="Arial" w:cs="Arial"/>
                <w:color w:val="000000"/>
                <w:szCs w:val="24"/>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Responsable de la propuesta</w:t>
            </w:r>
          </w:p>
        </w:tc>
        <w:tc>
          <w:tcPr>
            <w:tcW w:w="6945" w:type="dxa"/>
            <w:gridSpan w:val="4"/>
          </w:tcPr>
          <w:p w:rsidR="003E2C9F" w:rsidRDefault="009A2651" w:rsidP="00146247">
            <w:pPr>
              <w:spacing w:before="240" w:line="276" w:lineRule="auto"/>
              <w:jc w:val="both"/>
              <w:rPr>
                <w:rFonts w:ascii="Arial" w:hAnsi="Arial" w:cs="Arial"/>
              </w:rPr>
            </w:pPr>
            <w:r>
              <w:rPr>
                <w:rFonts w:ascii="Arial" w:hAnsi="Arial" w:cs="Arial"/>
              </w:rPr>
              <w:t>Departamento</w:t>
            </w:r>
            <w:r w:rsidR="008C3364">
              <w:rPr>
                <w:rFonts w:ascii="Arial" w:hAnsi="Arial" w:cs="Arial"/>
              </w:rPr>
              <w:t xml:space="preserve"> de </w:t>
            </w:r>
            <w:r w:rsidR="00486767">
              <w:rPr>
                <w:rFonts w:ascii="Arial" w:hAnsi="Arial" w:cs="Arial"/>
              </w:rPr>
              <w:t xml:space="preserve">Entomología </w:t>
            </w:r>
            <w:r w:rsidR="008C3364">
              <w:rPr>
                <w:rFonts w:ascii="Arial" w:hAnsi="Arial" w:cs="Arial"/>
              </w:rPr>
              <w:t>de l</w:t>
            </w:r>
            <w:r>
              <w:rPr>
                <w:rFonts w:ascii="Arial" w:hAnsi="Arial" w:cs="Arial"/>
              </w:rPr>
              <w:t>a Sociedad de Ciencias Aranzadi</w:t>
            </w:r>
            <w:r w:rsidR="008C3364">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Expertos o Instituciones que apoyan la propuesta</w:t>
            </w:r>
          </w:p>
        </w:tc>
        <w:tc>
          <w:tcPr>
            <w:tcW w:w="6945" w:type="dxa"/>
            <w:gridSpan w:val="4"/>
          </w:tcPr>
          <w:p w:rsidR="000773DC" w:rsidRPr="00A87E91" w:rsidRDefault="009A2651" w:rsidP="00146247">
            <w:pPr>
              <w:spacing w:before="240" w:line="276" w:lineRule="auto"/>
              <w:jc w:val="both"/>
              <w:rPr>
                <w:rFonts w:ascii="Arial" w:hAnsi="Arial" w:cs="Arial"/>
              </w:rPr>
            </w:pPr>
            <w:r w:rsidRPr="00A87E91">
              <w:rPr>
                <w:rFonts w:ascii="Arial" w:hAnsi="Arial" w:cs="Arial"/>
              </w:rPr>
              <w:t>D</w:t>
            </w:r>
            <w:r w:rsidR="008C3364" w:rsidRPr="00A87E91">
              <w:rPr>
                <w:rFonts w:ascii="Arial" w:hAnsi="Arial" w:cs="Arial"/>
              </w:rPr>
              <w:t xml:space="preserve">epartamento de </w:t>
            </w:r>
            <w:r w:rsidR="00486767" w:rsidRPr="00A87E91">
              <w:rPr>
                <w:rFonts w:ascii="Arial" w:hAnsi="Arial" w:cs="Arial"/>
              </w:rPr>
              <w:t>Entomología</w:t>
            </w:r>
            <w:r w:rsidR="008C3364" w:rsidRPr="00A87E91">
              <w:rPr>
                <w:rFonts w:ascii="Arial" w:hAnsi="Arial" w:cs="Arial"/>
              </w:rPr>
              <w:t xml:space="preserve"> de la Sociedad de Ciencias</w:t>
            </w:r>
            <w:r w:rsidR="000773DC" w:rsidRPr="00A87E91">
              <w:rPr>
                <w:rFonts w:ascii="Arial" w:hAnsi="Arial" w:cs="Arial"/>
              </w:rPr>
              <w:t xml:space="preserve"> Aranzadi</w:t>
            </w:r>
            <w:r w:rsidR="00486767" w:rsidRPr="00A87E91">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 xml:space="preserve">Breve </w:t>
            </w:r>
            <w:r w:rsidRPr="00CF72D3">
              <w:rPr>
                <w:rFonts w:ascii="Arial" w:hAnsi="Arial" w:cs="Arial"/>
                <w:b/>
                <w:sz w:val="20"/>
              </w:rPr>
              <w:t>resumen</w:t>
            </w:r>
            <w:r w:rsidRPr="00146247">
              <w:rPr>
                <w:rFonts w:ascii="Arial" w:hAnsi="Arial" w:cs="Arial"/>
                <w:b/>
                <w:sz w:val="20"/>
              </w:rPr>
              <w:t xml:space="preserve"> de la propuesta y los criterios que la avalan</w:t>
            </w:r>
          </w:p>
        </w:tc>
        <w:tc>
          <w:tcPr>
            <w:tcW w:w="6945" w:type="dxa"/>
            <w:gridSpan w:val="4"/>
          </w:tcPr>
          <w:p w:rsidR="00EE7D3E" w:rsidRDefault="0017433F" w:rsidP="000429F0">
            <w:pPr>
              <w:spacing w:before="240" w:line="276" w:lineRule="auto"/>
              <w:jc w:val="both"/>
              <w:rPr>
                <w:rFonts w:ascii="Arial" w:hAnsi="Arial" w:cs="Arial"/>
                <w:lang w:eastAsia="es-ES"/>
              </w:rPr>
            </w:pPr>
            <w:proofErr w:type="spellStart"/>
            <w:r>
              <w:rPr>
                <w:rFonts w:ascii="Arial" w:hAnsi="Arial" w:cs="Arial"/>
                <w:i/>
              </w:rPr>
              <w:t>Onychogomphus</w:t>
            </w:r>
            <w:proofErr w:type="spellEnd"/>
            <w:r>
              <w:rPr>
                <w:rFonts w:ascii="Arial" w:hAnsi="Arial" w:cs="Arial"/>
                <w:i/>
              </w:rPr>
              <w:t xml:space="preserve"> </w:t>
            </w:r>
            <w:proofErr w:type="spellStart"/>
            <w:r w:rsidR="00C91A60">
              <w:rPr>
                <w:rFonts w:ascii="Arial" w:hAnsi="Arial" w:cs="Arial"/>
                <w:i/>
              </w:rPr>
              <w:t>costae</w:t>
            </w:r>
            <w:proofErr w:type="spellEnd"/>
            <w:r w:rsidR="00B539CE">
              <w:rPr>
                <w:rFonts w:ascii="Arial" w:hAnsi="Arial" w:cs="Arial"/>
              </w:rPr>
              <w:t xml:space="preserve"> está restringida en el País Vasco al </w:t>
            </w:r>
            <w:r w:rsidR="00B539CE">
              <w:rPr>
                <w:rFonts w:ascii="Arial" w:hAnsi="Arial" w:cs="Arial"/>
                <w:lang w:eastAsia="es-ES"/>
              </w:rPr>
              <w:t>curso del río Ebro en su paso por la Rioja Alavesa, teniendo además una información escasa (11 registros entre los años 2009 y 2017).</w:t>
            </w:r>
          </w:p>
          <w:p w:rsidR="00B539CE" w:rsidRPr="00B539CE" w:rsidRDefault="00B539CE" w:rsidP="000429F0">
            <w:pPr>
              <w:spacing w:before="240" w:line="276" w:lineRule="auto"/>
              <w:jc w:val="both"/>
              <w:rPr>
                <w:rFonts w:ascii="Arial" w:hAnsi="Arial" w:cs="Arial"/>
              </w:rPr>
            </w:pPr>
            <w:r>
              <w:rPr>
                <w:rFonts w:ascii="Arial" w:hAnsi="Arial" w:cs="Arial"/>
                <w:lang w:eastAsia="es-ES"/>
              </w:rPr>
              <w:t>Las tendencias de la especie en esta zona nos indican que su área de distribución se encuentra en declive (-50%), si bien las poblaciones que están asentadas parecen haber aumentado en los últimos años (+181%).</w:t>
            </w:r>
          </w:p>
          <w:p w:rsidR="003E2C9F" w:rsidRDefault="00CF72D3" w:rsidP="00CF72D3">
            <w:pPr>
              <w:spacing w:before="240" w:line="276" w:lineRule="auto"/>
              <w:jc w:val="both"/>
              <w:rPr>
                <w:rFonts w:ascii="Arial" w:hAnsi="Arial" w:cs="Arial"/>
              </w:rPr>
            </w:pPr>
            <w:r>
              <w:rPr>
                <w:rFonts w:ascii="Arial" w:hAnsi="Arial" w:cs="Arial"/>
              </w:rPr>
              <w:t>El declive del área de distribución de la especie, siendo esta tan restringida geográficamente en el País Vasco, promueve</w:t>
            </w:r>
            <w:r w:rsidR="000429F0">
              <w:rPr>
                <w:rFonts w:ascii="Arial" w:hAnsi="Arial" w:cs="Arial"/>
              </w:rPr>
              <w:t xml:space="preserve"> su </w:t>
            </w:r>
            <w:r w:rsidR="0017433F">
              <w:rPr>
                <w:rFonts w:ascii="Arial" w:hAnsi="Arial" w:cs="Arial"/>
              </w:rPr>
              <w:t>inclusión en la categoría de</w:t>
            </w:r>
            <w:r w:rsidR="000429F0">
              <w:rPr>
                <w:rFonts w:ascii="Arial" w:hAnsi="Arial" w:cs="Arial"/>
              </w:rPr>
              <w:t xml:space="preserve"> </w:t>
            </w:r>
            <w:r w:rsidR="00C91A60">
              <w:rPr>
                <w:rFonts w:ascii="Arial" w:hAnsi="Arial" w:cs="Arial"/>
              </w:rPr>
              <w:t>VULNERABLE</w:t>
            </w:r>
            <w:r w:rsidR="000429F0">
              <w:rPr>
                <w:rFonts w:ascii="Arial" w:hAnsi="Arial" w:cs="Arial"/>
              </w:rPr>
              <w:t xml:space="preserve"> para el Catálogo Vasco de Especies Amenazadas.</w:t>
            </w:r>
          </w:p>
        </w:tc>
      </w:tr>
      <w:tr w:rsidR="00BA37B2" w:rsidTr="0033102E">
        <w:trPr>
          <w:trHeight w:val="2695"/>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CF72D3">
              <w:rPr>
                <w:rFonts w:ascii="Arial" w:hAnsi="Arial" w:cs="Arial"/>
                <w:b/>
                <w:sz w:val="20"/>
              </w:rPr>
              <w:t>Aplicación</w:t>
            </w:r>
            <w:r w:rsidRPr="00146247">
              <w:rPr>
                <w:rFonts w:ascii="Arial" w:hAnsi="Arial" w:cs="Arial"/>
                <w:b/>
                <w:sz w:val="20"/>
              </w:rPr>
              <w:t xml:space="preserve"> de los Criterios Orientadores de catalogación (resolución 6 marzo 2017) (BOE nº 65, 17/03/2017)</w:t>
            </w:r>
          </w:p>
        </w:tc>
        <w:tc>
          <w:tcPr>
            <w:tcW w:w="6945" w:type="dxa"/>
            <w:gridSpan w:val="4"/>
          </w:tcPr>
          <w:p w:rsidR="00CF72D3" w:rsidRPr="0050341C" w:rsidRDefault="00CF72D3" w:rsidP="00CF72D3">
            <w:pPr>
              <w:tabs>
                <w:tab w:val="left" w:pos="943"/>
              </w:tabs>
              <w:spacing w:before="240" w:line="276" w:lineRule="auto"/>
              <w:jc w:val="both"/>
              <w:rPr>
                <w:rFonts w:ascii="Arial" w:hAnsi="Arial" w:cs="Arial"/>
              </w:rPr>
            </w:pPr>
            <w:r>
              <w:rPr>
                <w:rFonts w:ascii="Arial" w:hAnsi="Arial" w:cs="Arial"/>
              </w:rPr>
              <w:t xml:space="preserve">Se </w:t>
            </w:r>
            <w:r w:rsidRPr="0017700F">
              <w:rPr>
                <w:rFonts w:ascii="Arial" w:hAnsi="Arial" w:cs="Arial"/>
              </w:rPr>
              <w:t xml:space="preserve">propone </w:t>
            </w:r>
            <w:r>
              <w:rPr>
                <w:rFonts w:ascii="Arial" w:hAnsi="Arial" w:cs="Arial"/>
              </w:rPr>
              <w:t xml:space="preserve">la inclusión de la especie </w:t>
            </w:r>
            <w:proofErr w:type="spellStart"/>
            <w:r>
              <w:rPr>
                <w:rFonts w:ascii="Arial" w:hAnsi="Arial" w:cs="Arial"/>
                <w:i/>
              </w:rPr>
              <w:t>Onychogomphus</w:t>
            </w:r>
            <w:proofErr w:type="spellEnd"/>
            <w:r>
              <w:rPr>
                <w:rFonts w:ascii="Arial" w:hAnsi="Arial" w:cs="Arial"/>
                <w:i/>
              </w:rPr>
              <w:t xml:space="preserve"> </w:t>
            </w:r>
            <w:proofErr w:type="spellStart"/>
            <w:r>
              <w:rPr>
                <w:rFonts w:ascii="Arial" w:hAnsi="Arial" w:cs="Arial"/>
                <w:i/>
              </w:rPr>
              <w:t>costae</w:t>
            </w:r>
            <w:proofErr w:type="spellEnd"/>
            <w:r>
              <w:rPr>
                <w:rFonts w:ascii="Arial" w:hAnsi="Arial" w:cs="Arial"/>
              </w:rPr>
              <w:t xml:space="preserve"> en </w:t>
            </w:r>
            <w:r w:rsidRPr="0017700F">
              <w:rPr>
                <w:rFonts w:ascii="Arial" w:hAnsi="Arial" w:cs="Arial"/>
              </w:rPr>
              <w:t xml:space="preserve">la categoría de </w:t>
            </w:r>
            <w:r>
              <w:rPr>
                <w:rFonts w:ascii="Arial" w:hAnsi="Arial" w:cs="Arial"/>
                <w:b/>
              </w:rPr>
              <w:t>VULNERABLE (VU)</w:t>
            </w:r>
            <w:r>
              <w:rPr>
                <w:rFonts w:ascii="Arial" w:hAnsi="Arial" w:cs="Arial"/>
              </w:rPr>
              <w:t xml:space="preserve"> en el Catálogo Vasco de Especies Amenazadas, atendiendo a la </w:t>
            </w:r>
            <w:r w:rsidRPr="0027116A">
              <w:rPr>
                <w:rFonts w:ascii="Arial" w:hAnsi="Arial" w:cs="Arial"/>
              </w:rPr>
              <w:t xml:space="preserve">reducción </w:t>
            </w:r>
            <w:r>
              <w:rPr>
                <w:rFonts w:ascii="Arial" w:hAnsi="Arial" w:cs="Arial"/>
              </w:rPr>
              <w:t xml:space="preserve">que muestra </w:t>
            </w:r>
            <w:r w:rsidRPr="0027116A">
              <w:rPr>
                <w:rFonts w:ascii="Arial" w:hAnsi="Arial" w:cs="Arial"/>
              </w:rPr>
              <w:t>del 5</w:t>
            </w:r>
            <w:r w:rsidR="00B450A2">
              <w:rPr>
                <w:rFonts w:ascii="Arial" w:hAnsi="Arial" w:cs="Arial"/>
              </w:rPr>
              <w:t>0% en su distribución poblacional</w:t>
            </w:r>
            <w:r>
              <w:rPr>
                <w:rFonts w:ascii="Arial" w:hAnsi="Arial" w:cs="Arial"/>
              </w:rPr>
              <w:t xml:space="preserve"> en los últimos 10 años.</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Situación legal y de conservación</w:t>
            </w:r>
          </w:p>
        </w:tc>
        <w:tc>
          <w:tcPr>
            <w:tcW w:w="6945" w:type="dxa"/>
            <w:gridSpan w:val="4"/>
          </w:tcPr>
          <w:p w:rsidR="000123A9" w:rsidRDefault="003E48D3" w:rsidP="00613B5B">
            <w:pPr>
              <w:autoSpaceDE w:val="0"/>
              <w:autoSpaceDN w:val="0"/>
              <w:adjustRightInd w:val="0"/>
              <w:spacing w:before="240" w:after="160" w:line="276" w:lineRule="auto"/>
              <w:jc w:val="both"/>
              <w:rPr>
                <w:rFonts w:ascii="Arial" w:hAnsi="Arial" w:cs="Arial"/>
              </w:rPr>
            </w:pPr>
            <w:r>
              <w:rPr>
                <w:rFonts w:ascii="Arial" w:hAnsi="Arial" w:cs="Arial"/>
              </w:rPr>
              <w:t>EN PELIGRO</w:t>
            </w:r>
            <w:r w:rsidR="001B2A6C">
              <w:rPr>
                <w:rFonts w:ascii="Arial" w:hAnsi="Arial" w:cs="Arial"/>
              </w:rPr>
              <w:t xml:space="preserve"> (</w:t>
            </w:r>
            <w:r>
              <w:rPr>
                <w:rFonts w:ascii="Arial" w:hAnsi="Arial" w:cs="Arial"/>
              </w:rPr>
              <w:t>EN</w:t>
            </w:r>
            <w:r w:rsidR="001B2A6C">
              <w:rPr>
                <w:rFonts w:ascii="Arial" w:hAnsi="Arial" w:cs="Arial"/>
              </w:rPr>
              <w:t>)</w:t>
            </w:r>
            <w:r w:rsidR="007806CE">
              <w:rPr>
                <w:rFonts w:ascii="Arial" w:hAnsi="Arial" w:cs="Arial"/>
              </w:rPr>
              <w:t xml:space="preserve"> a nivel regional,</w:t>
            </w:r>
            <w:r w:rsidR="0094292F">
              <w:rPr>
                <w:rFonts w:ascii="Arial" w:hAnsi="Arial" w:cs="Arial"/>
              </w:rPr>
              <w:t xml:space="preserve"> europeo</w:t>
            </w:r>
            <w:r w:rsidR="001B2A6C">
              <w:rPr>
                <w:rFonts w:ascii="Arial" w:hAnsi="Arial" w:cs="Arial"/>
              </w:rPr>
              <w:t xml:space="preserve"> </w:t>
            </w:r>
            <w:r w:rsidR="007806CE">
              <w:rPr>
                <w:rFonts w:ascii="Arial" w:hAnsi="Arial" w:cs="Arial"/>
              </w:rPr>
              <w:t xml:space="preserve">y mundial </w:t>
            </w:r>
            <w:r w:rsidR="001B2A6C">
              <w:rPr>
                <w:rFonts w:ascii="Arial" w:hAnsi="Arial" w:cs="Arial"/>
              </w:rPr>
              <w:t>(</w:t>
            </w:r>
            <w:r w:rsidR="0094292F">
              <w:rPr>
                <w:rFonts w:ascii="Arial" w:hAnsi="Arial" w:cs="Arial"/>
              </w:rPr>
              <w:t xml:space="preserve">IUCN – </w:t>
            </w:r>
            <w:proofErr w:type="spellStart"/>
            <w:r w:rsidR="001B2A6C" w:rsidRPr="00621BEE">
              <w:rPr>
                <w:rFonts w:ascii="Arial" w:hAnsi="Arial" w:cs="Arial"/>
              </w:rPr>
              <w:t>Boudot</w:t>
            </w:r>
            <w:proofErr w:type="spellEnd"/>
            <w:r w:rsidR="0094292F">
              <w:rPr>
                <w:rFonts w:ascii="Arial" w:hAnsi="Arial" w:cs="Arial"/>
              </w:rPr>
              <w:t xml:space="preserve"> </w:t>
            </w:r>
            <w:r w:rsidR="001B2A6C" w:rsidRPr="00621BEE">
              <w:rPr>
                <w:rFonts w:ascii="Arial" w:hAnsi="Arial" w:cs="Arial"/>
              </w:rPr>
              <w:t xml:space="preserve">&amp; </w:t>
            </w:r>
            <w:proofErr w:type="spellStart"/>
            <w:r w:rsidR="001B2A6C" w:rsidRPr="00621BEE">
              <w:rPr>
                <w:rFonts w:ascii="Arial" w:hAnsi="Arial" w:cs="Arial"/>
              </w:rPr>
              <w:t>Kalkman</w:t>
            </w:r>
            <w:proofErr w:type="spellEnd"/>
            <w:r w:rsidR="001B2A6C" w:rsidRPr="00621BEE">
              <w:rPr>
                <w:rFonts w:ascii="Arial" w:hAnsi="Arial" w:cs="Arial"/>
              </w:rPr>
              <w:t>, 2015</w:t>
            </w:r>
            <w:r w:rsidR="001B2A6C">
              <w:rPr>
                <w:rFonts w:ascii="Arial" w:hAnsi="Arial" w:cs="Arial"/>
              </w:rPr>
              <w:t>).</w:t>
            </w:r>
          </w:p>
          <w:p w:rsidR="003E48D3" w:rsidRDefault="003E48D3" w:rsidP="00613B5B">
            <w:pPr>
              <w:autoSpaceDE w:val="0"/>
              <w:autoSpaceDN w:val="0"/>
              <w:adjustRightInd w:val="0"/>
              <w:spacing w:before="240" w:after="160" w:line="276" w:lineRule="auto"/>
              <w:jc w:val="both"/>
              <w:rPr>
                <w:rFonts w:ascii="Arial" w:hAnsi="Arial" w:cs="Arial"/>
              </w:rPr>
            </w:pPr>
            <w:r>
              <w:rPr>
                <w:rFonts w:ascii="Arial" w:hAnsi="Arial" w:cs="Arial"/>
              </w:rPr>
              <w:t>VULNERABLE (VU) en España (</w:t>
            </w:r>
            <w:r w:rsidR="007806CE">
              <w:rPr>
                <w:rFonts w:ascii="Arial" w:hAnsi="Arial" w:cs="Arial"/>
                <w:lang w:eastAsia="es-ES"/>
              </w:rPr>
              <w:t xml:space="preserve">Ocharan et al., 2011; </w:t>
            </w:r>
            <w:proofErr w:type="spellStart"/>
            <w:r>
              <w:rPr>
                <w:rFonts w:ascii="Arial" w:hAnsi="Arial" w:cs="Arial"/>
              </w:rPr>
              <w:t>Verdú</w:t>
            </w:r>
            <w:proofErr w:type="spellEnd"/>
            <w:r>
              <w:rPr>
                <w:rFonts w:ascii="Arial" w:hAnsi="Arial" w:cs="Arial"/>
              </w:rPr>
              <w:t xml:space="preserve"> et al., 2011)</w:t>
            </w:r>
            <w:r w:rsidR="00AB3C87">
              <w:rPr>
                <w:rFonts w:ascii="Arial" w:hAnsi="Arial" w:cs="Arial"/>
              </w:rPr>
              <w:t>.</w:t>
            </w:r>
          </w:p>
          <w:p w:rsidR="00871197" w:rsidRPr="00486767" w:rsidRDefault="00871197" w:rsidP="00613B5B">
            <w:pPr>
              <w:autoSpaceDE w:val="0"/>
              <w:autoSpaceDN w:val="0"/>
              <w:adjustRightInd w:val="0"/>
              <w:spacing w:before="240" w:after="160" w:line="276" w:lineRule="auto"/>
              <w:jc w:val="both"/>
              <w:rPr>
                <w:rFonts w:ascii="Arial" w:hAnsi="Arial" w:cs="Arial"/>
              </w:rPr>
            </w:pPr>
            <w:r>
              <w:rPr>
                <w:rFonts w:ascii="Arial" w:hAnsi="Arial" w:cs="Arial"/>
              </w:rPr>
              <w:t xml:space="preserve">RARA en el Catálogo Vasco de Especies Amenazadas, según </w:t>
            </w:r>
            <w:r w:rsidRPr="00586D16">
              <w:rPr>
                <w:rFonts w:ascii="Arial" w:hAnsi="Arial" w:cs="Arial"/>
                <w:iCs/>
                <w:color w:val="000000"/>
                <w:szCs w:val="20"/>
                <w:shd w:val="clear" w:color="auto" w:fill="FFFFFF"/>
              </w:rPr>
              <w:t>ORDEN de 18 de junio de 2013</w:t>
            </w:r>
            <w:r>
              <w:rPr>
                <w:rFonts w:ascii="Arial" w:hAnsi="Arial" w:cs="Arial"/>
                <w:iCs/>
                <w:color w:val="000000"/>
                <w:szCs w:val="20"/>
                <w:shd w:val="clear" w:color="auto" w:fill="FFFFFF"/>
              </w:rPr>
              <w:t>.</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CF72D3">
              <w:rPr>
                <w:rFonts w:ascii="Arial" w:hAnsi="Arial" w:cs="Arial"/>
                <w:b/>
                <w:sz w:val="20"/>
              </w:rPr>
              <w:t>Área</w:t>
            </w:r>
            <w:r w:rsidRPr="00146247">
              <w:rPr>
                <w:rFonts w:ascii="Arial" w:hAnsi="Arial" w:cs="Arial"/>
                <w:b/>
                <w:sz w:val="20"/>
              </w:rPr>
              <w:t xml:space="preserve"> de distribución. Evolución</w:t>
            </w:r>
          </w:p>
        </w:tc>
        <w:tc>
          <w:tcPr>
            <w:tcW w:w="6945" w:type="dxa"/>
            <w:gridSpan w:val="4"/>
          </w:tcPr>
          <w:p w:rsidR="00CB0D75" w:rsidRPr="00CB0D75" w:rsidRDefault="00CB0D75" w:rsidP="00146247">
            <w:pPr>
              <w:spacing w:before="240" w:line="276" w:lineRule="auto"/>
              <w:jc w:val="both"/>
              <w:rPr>
                <w:rFonts w:ascii="Arial" w:hAnsi="Arial" w:cs="Arial"/>
                <w:b/>
                <w:lang w:eastAsia="es-ES"/>
              </w:rPr>
            </w:pPr>
            <w:r w:rsidRPr="00CB0D75">
              <w:rPr>
                <w:rFonts w:ascii="Arial" w:hAnsi="Arial" w:cs="Arial"/>
                <w:b/>
                <w:lang w:eastAsia="es-ES"/>
              </w:rPr>
              <w:t>Número de cuadrículas UTM 10x10 km</w:t>
            </w:r>
            <w:r w:rsidR="007C207E" w:rsidRPr="007C207E">
              <w:rPr>
                <w:rFonts w:ascii="Arial" w:hAnsi="Arial" w:cs="Arial"/>
                <w:b/>
                <w:vertAlign w:val="superscript"/>
                <w:lang w:eastAsia="es-ES"/>
              </w:rPr>
              <w:t>1</w:t>
            </w:r>
            <w:r w:rsidR="00EE7D3E">
              <w:rPr>
                <w:rFonts w:ascii="Arial" w:hAnsi="Arial" w:cs="Arial"/>
                <w:b/>
                <w:lang w:eastAsia="es-ES"/>
              </w:rPr>
              <w:t xml:space="preserve"> en los últimos diez años</w:t>
            </w:r>
            <w:r w:rsidRPr="00CB0D75">
              <w:rPr>
                <w:rFonts w:ascii="Arial" w:hAnsi="Arial" w:cs="Arial"/>
                <w:b/>
                <w:lang w:eastAsia="es-ES"/>
              </w:rPr>
              <w:t>:</w:t>
            </w:r>
          </w:p>
          <w:p w:rsidR="00CB0D75" w:rsidRPr="00CB0D75" w:rsidRDefault="007E5B47" w:rsidP="00CB0D75">
            <w:pPr>
              <w:pStyle w:val="Prrafodelista"/>
              <w:numPr>
                <w:ilvl w:val="0"/>
                <w:numId w:val="14"/>
              </w:numPr>
              <w:spacing w:line="276" w:lineRule="auto"/>
              <w:ind w:left="1168"/>
              <w:jc w:val="both"/>
              <w:rPr>
                <w:rFonts w:ascii="Arial" w:hAnsi="Arial" w:cs="Arial"/>
                <w:b/>
                <w:lang w:eastAsia="es-ES"/>
              </w:rPr>
            </w:pPr>
            <w:r>
              <w:rPr>
                <w:rFonts w:ascii="Arial" w:hAnsi="Arial" w:cs="Arial"/>
                <w:b/>
                <w:lang w:eastAsia="es-ES"/>
              </w:rPr>
              <w:t xml:space="preserve">CAPV: </w:t>
            </w:r>
            <w:r w:rsidR="00AB3C87">
              <w:rPr>
                <w:rFonts w:ascii="Arial" w:hAnsi="Arial" w:cs="Arial"/>
                <w:b/>
                <w:lang w:eastAsia="es-ES"/>
              </w:rPr>
              <w:t>3</w:t>
            </w:r>
            <w:r w:rsidR="00CB0D75"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AB3C87">
              <w:rPr>
                <w:rFonts w:ascii="Arial" w:hAnsi="Arial" w:cs="Arial"/>
                <w:b/>
                <w:lang w:eastAsia="es-ES"/>
              </w:rPr>
              <w:t>no citada</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416B51">
              <w:rPr>
                <w:rFonts w:ascii="Arial" w:hAnsi="Arial" w:cs="Arial"/>
                <w:b/>
                <w:lang w:eastAsia="es-ES"/>
              </w:rPr>
              <w:t>2</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 xml:space="preserve">Red Natura 2000: </w:t>
            </w:r>
            <w:r w:rsidR="00AB3C87">
              <w:rPr>
                <w:rFonts w:ascii="Arial" w:hAnsi="Arial" w:cs="Arial"/>
                <w:b/>
                <w:lang w:eastAsia="es-ES"/>
              </w:rPr>
              <w:t>2</w:t>
            </w:r>
            <w:r w:rsidRPr="00CB0D75">
              <w:rPr>
                <w:rFonts w:ascii="Arial" w:hAnsi="Arial" w:cs="Arial"/>
                <w:b/>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AB3C87">
              <w:rPr>
                <w:rFonts w:ascii="Arial" w:hAnsi="Arial" w:cs="Arial"/>
                <w:b/>
                <w:lang w:eastAsia="es-ES"/>
              </w:rPr>
              <w:t>3</w:t>
            </w:r>
            <w:r w:rsidRPr="00CB0D75">
              <w:rPr>
                <w:rFonts w:ascii="Arial" w:hAnsi="Arial" w:cs="Arial"/>
                <w:b/>
              </w:rPr>
              <w:t>.</w:t>
            </w:r>
          </w:p>
          <w:p w:rsidR="007C207E" w:rsidRDefault="007C207E" w:rsidP="00146247">
            <w:pPr>
              <w:spacing w:before="240" w:line="276" w:lineRule="auto"/>
              <w:jc w:val="both"/>
              <w:rPr>
                <w:rFonts w:ascii="Arial" w:hAnsi="Arial" w:cs="Arial"/>
                <w:lang w:eastAsia="es-ES"/>
              </w:rPr>
            </w:pPr>
            <w:r w:rsidRPr="007C207E">
              <w:rPr>
                <w:rFonts w:ascii="Arial" w:hAnsi="Arial" w:cs="Arial"/>
                <w:sz w:val="16"/>
                <w:szCs w:val="16"/>
                <w:vertAlign w:val="superscript"/>
              </w:rPr>
              <w:t>1</w:t>
            </w:r>
            <w:r>
              <w:rPr>
                <w:rFonts w:ascii="Arial" w:hAnsi="Arial" w:cs="Arial"/>
                <w:sz w:val="16"/>
                <w:szCs w:val="16"/>
              </w:rPr>
              <w:t>La ausencia de registros a precisión 1x1 km, unido al hecho de que algunas cuadrículas 10x10 km tienen regiones de distinta índole, hace que las sumas de distintas áreas no equivalgan al total de la CAPV. Del mismo modo, la falta de precisión puede originar una sobreestimación de los registros que quedan fuera de RN2000 respecto a los que quedan claramente dentro</w:t>
            </w:r>
            <w:r w:rsidR="007E5B47">
              <w:rPr>
                <w:rFonts w:ascii="Arial" w:hAnsi="Arial" w:cs="Arial"/>
                <w:sz w:val="16"/>
                <w:szCs w:val="16"/>
              </w:rPr>
              <w:t>.</w:t>
            </w:r>
          </w:p>
          <w:p w:rsidR="00416B51" w:rsidRDefault="00006C50" w:rsidP="00146247">
            <w:pPr>
              <w:spacing w:before="240" w:line="276" w:lineRule="auto"/>
              <w:jc w:val="both"/>
              <w:rPr>
                <w:rFonts w:ascii="Arial" w:hAnsi="Arial" w:cs="Arial"/>
                <w:lang w:eastAsia="es-ES"/>
              </w:rPr>
            </w:pPr>
            <w:r>
              <w:rPr>
                <w:rFonts w:ascii="Arial" w:hAnsi="Arial" w:cs="Arial"/>
                <w:lang w:eastAsia="es-ES"/>
              </w:rPr>
              <w:t xml:space="preserve">El área de distribución de </w:t>
            </w:r>
            <w:proofErr w:type="spellStart"/>
            <w:r w:rsidR="00416B51">
              <w:rPr>
                <w:rFonts w:ascii="Arial" w:hAnsi="Arial" w:cs="Arial"/>
                <w:i/>
                <w:lang w:eastAsia="es-ES"/>
              </w:rPr>
              <w:t>Onychogomphus</w:t>
            </w:r>
            <w:proofErr w:type="spellEnd"/>
            <w:r w:rsidR="00416B51">
              <w:rPr>
                <w:rFonts w:ascii="Arial" w:hAnsi="Arial" w:cs="Arial"/>
                <w:i/>
                <w:lang w:eastAsia="es-ES"/>
              </w:rPr>
              <w:t xml:space="preserve"> </w:t>
            </w:r>
            <w:proofErr w:type="spellStart"/>
            <w:r w:rsidR="003E48D3">
              <w:rPr>
                <w:rFonts w:ascii="Arial" w:hAnsi="Arial" w:cs="Arial"/>
                <w:i/>
                <w:lang w:eastAsia="es-ES"/>
              </w:rPr>
              <w:t>costae</w:t>
            </w:r>
            <w:proofErr w:type="spellEnd"/>
            <w:r>
              <w:rPr>
                <w:rFonts w:ascii="Arial" w:hAnsi="Arial" w:cs="Arial"/>
                <w:lang w:eastAsia="es-ES"/>
              </w:rPr>
              <w:t xml:space="preserve"> </w:t>
            </w:r>
            <w:r w:rsidR="00416B51">
              <w:rPr>
                <w:rFonts w:ascii="Arial" w:hAnsi="Arial" w:cs="Arial"/>
                <w:lang w:eastAsia="es-ES"/>
              </w:rPr>
              <w:t xml:space="preserve">se </w:t>
            </w:r>
            <w:r w:rsidR="003E48D3">
              <w:rPr>
                <w:rFonts w:ascii="Arial" w:hAnsi="Arial" w:cs="Arial"/>
                <w:lang w:eastAsia="es-ES"/>
              </w:rPr>
              <w:t>restringe a la parte más occidental del Mediterráneo</w:t>
            </w:r>
            <w:r w:rsidR="00416B51">
              <w:rPr>
                <w:rFonts w:ascii="Arial" w:hAnsi="Arial" w:cs="Arial"/>
                <w:lang w:eastAsia="es-ES"/>
              </w:rPr>
              <w:t xml:space="preserve"> (</w:t>
            </w:r>
            <w:proofErr w:type="spellStart"/>
            <w:r w:rsidR="003E48D3" w:rsidRPr="00621BEE">
              <w:rPr>
                <w:rFonts w:ascii="Arial" w:hAnsi="Arial" w:cs="Arial"/>
              </w:rPr>
              <w:t>Boudot</w:t>
            </w:r>
            <w:proofErr w:type="spellEnd"/>
            <w:r w:rsidR="003E48D3">
              <w:rPr>
                <w:rFonts w:ascii="Arial" w:hAnsi="Arial" w:cs="Arial"/>
              </w:rPr>
              <w:t xml:space="preserve"> </w:t>
            </w:r>
            <w:r w:rsidR="003E48D3" w:rsidRPr="00621BEE">
              <w:rPr>
                <w:rFonts w:ascii="Arial" w:hAnsi="Arial" w:cs="Arial"/>
              </w:rPr>
              <w:t xml:space="preserve">&amp; </w:t>
            </w:r>
            <w:proofErr w:type="spellStart"/>
            <w:r w:rsidR="003E48D3" w:rsidRPr="00621BEE">
              <w:rPr>
                <w:rFonts w:ascii="Arial" w:hAnsi="Arial" w:cs="Arial"/>
              </w:rPr>
              <w:t>Kalkman</w:t>
            </w:r>
            <w:proofErr w:type="spellEnd"/>
            <w:r w:rsidR="003E48D3" w:rsidRPr="00621BEE">
              <w:rPr>
                <w:rFonts w:ascii="Arial" w:hAnsi="Arial" w:cs="Arial"/>
              </w:rPr>
              <w:t>, 2015</w:t>
            </w:r>
            <w:r w:rsidR="00416B51">
              <w:rPr>
                <w:rFonts w:ascii="Arial" w:hAnsi="Arial" w:cs="Arial"/>
                <w:lang w:eastAsia="es-ES"/>
              </w:rPr>
              <w:t>)</w:t>
            </w:r>
            <w:r w:rsidR="003E48D3">
              <w:rPr>
                <w:rFonts w:ascii="Arial" w:hAnsi="Arial" w:cs="Arial"/>
                <w:lang w:eastAsia="es-ES"/>
              </w:rPr>
              <w:t>, concretamente la mitad sur-sudeste de la Península Ibérica y el extremo noroeste de África (</w:t>
            </w:r>
            <w:proofErr w:type="spellStart"/>
            <w:r w:rsidR="003E48D3">
              <w:rPr>
                <w:rFonts w:ascii="Arial" w:hAnsi="Arial" w:cs="Arial"/>
                <w:lang w:eastAsia="es-ES"/>
              </w:rPr>
              <w:t>Gainzarain</w:t>
            </w:r>
            <w:proofErr w:type="spellEnd"/>
            <w:r w:rsidR="003E48D3">
              <w:rPr>
                <w:rFonts w:ascii="Arial" w:hAnsi="Arial" w:cs="Arial"/>
                <w:lang w:eastAsia="es-ES"/>
              </w:rPr>
              <w:t>, 2018)</w:t>
            </w:r>
            <w:r w:rsidR="00416B51">
              <w:rPr>
                <w:rFonts w:ascii="Arial" w:hAnsi="Arial" w:cs="Arial"/>
                <w:lang w:eastAsia="es-ES"/>
              </w:rPr>
              <w:t xml:space="preserve">. En la Península Ibérica presenta una distribución </w:t>
            </w:r>
            <w:r w:rsidR="003E48D3">
              <w:rPr>
                <w:rFonts w:ascii="Arial" w:hAnsi="Arial" w:cs="Arial"/>
                <w:lang w:eastAsia="es-ES"/>
              </w:rPr>
              <w:t>mediterránea muy fragmentada que asciende por el valle del Ebro hasta alcanzar el extremo sur de la provincia de Araba/Álava (</w:t>
            </w:r>
            <w:proofErr w:type="spellStart"/>
            <w:r w:rsidR="003E48D3">
              <w:rPr>
                <w:rFonts w:ascii="Arial" w:hAnsi="Arial" w:cs="Arial"/>
                <w:lang w:eastAsia="es-ES"/>
              </w:rPr>
              <w:t>Gainzarain</w:t>
            </w:r>
            <w:proofErr w:type="spellEnd"/>
            <w:r w:rsidR="003E48D3">
              <w:rPr>
                <w:rFonts w:ascii="Arial" w:hAnsi="Arial" w:cs="Arial"/>
                <w:lang w:eastAsia="es-ES"/>
              </w:rPr>
              <w:t>, 2018; Ocharan et al., 2011)</w:t>
            </w:r>
            <w:r w:rsidR="00416B51">
              <w:rPr>
                <w:rFonts w:ascii="Arial" w:hAnsi="Arial" w:cs="Arial"/>
                <w:lang w:eastAsia="es-ES"/>
              </w:rPr>
              <w:t>.</w:t>
            </w:r>
          </w:p>
          <w:p w:rsidR="0080307F" w:rsidRDefault="00AB3C87" w:rsidP="00146247">
            <w:pPr>
              <w:spacing w:before="240" w:line="276" w:lineRule="auto"/>
              <w:jc w:val="both"/>
              <w:rPr>
                <w:rFonts w:ascii="Arial" w:hAnsi="Arial" w:cs="Arial"/>
                <w:lang w:eastAsia="es-ES"/>
              </w:rPr>
            </w:pPr>
            <w:r>
              <w:rPr>
                <w:rFonts w:ascii="Arial" w:hAnsi="Arial" w:cs="Arial"/>
                <w:lang w:eastAsia="es-ES"/>
              </w:rPr>
              <w:t>En Araba/Álava su distribución se limita al curso d</w:t>
            </w:r>
            <w:r w:rsidR="0080307F">
              <w:rPr>
                <w:rFonts w:ascii="Arial" w:hAnsi="Arial" w:cs="Arial"/>
                <w:lang w:eastAsia="es-ES"/>
              </w:rPr>
              <w:t>el río Ebro en la Rioja Alavesa, en la que apenas se tienen 11 registros entre los años 2009 y 2017.</w:t>
            </w:r>
          </w:p>
          <w:p w:rsidR="0011027B" w:rsidRDefault="0011027B" w:rsidP="00146247">
            <w:pPr>
              <w:spacing w:before="240" w:line="276" w:lineRule="auto"/>
              <w:jc w:val="both"/>
              <w:rPr>
                <w:rFonts w:ascii="Arial" w:hAnsi="Arial" w:cs="Arial"/>
                <w:lang w:eastAsia="es-ES"/>
              </w:rPr>
            </w:pPr>
            <w:r>
              <w:rPr>
                <w:rFonts w:ascii="Arial" w:hAnsi="Arial" w:cs="Arial"/>
                <w:lang w:eastAsia="es-ES"/>
              </w:rPr>
              <w:t>Las tendencias de su amplitud geográfica muestran una recesión de la especie en los distintos niveles regionales analizados (-50% tanto en la CAPV como en la región Mediterránea) Al ser una especie típicamente mediterránea y con una distribución tan meridional en la CAPV, no se dispone de datos de localización en la vertiente Atlántica.</w:t>
            </w:r>
          </w:p>
          <w:p w:rsidR="00256663" w:rsidRDefault="00256663" w:rsidP="0011027B">
            <w:pPr>
              <w:spacing w:before="240" w:line="276" w:lineRule="auto"/>
              <w:jc w:val="both"/>
              <w:rPr>
                <w:rFonts w:ascii="Arial" w:hAnsi="Arial" w:cs="Arial"/>
                <w:lang w:eastAsia="es-ES"/>
              </w:rPr>
            </w:pPr>
            <w:r>
              <w:rPr>
                <w:rFonts w:ascii="Arial" w:hAnsi="Arial" w:cs="Arial"/>
                <w:lang w:eastAsia="es-ES"/>
              </w:rPr>
              <w:t>No hay tampoco registros suficientes dentro de RN2000 como para calcular tendencias, pero en espacios fuera de RN2000 s</w:t>
            </w:r>
            <w:r w:rsidR="0011027B">
              <w:rPr>
                <w:rFonts w:ascii="Arial" w:hAnsi="Arial" w:cs="Arial"/>
                <w:lang w:eastAsia="es-ES"/>
              </w:rPr>
              <w:t>e observa un declive en</w:t>
            </w:r>
            <w:r>
              <w:rPr>
                <w:rFonts w:ascii="Arial" w:hAnsi="Arial" w:cs="Arial"/>
                <w:lang w:eastAsia="es-ES"/>
              </w:rPr>
              <w:t xml:space="preserve"> el área de ocupación del</w:t>
            </w:r>
            <w:r w:rsidR="0011027B">
              <w:rPr>
                <w:rFonts w:ascii="Arial" w:hAnsi="Arial" w:cs="Arial"/>
                <w:lang w:eastAsia="es-ES"/>
              </w:rPr>
              <w:t xml:space="preserve"> </w:t>
            </w:r>
            <w:r>
              <w:rPr>
                <w:rFonts w:ascii="Arial" w:hAnsi="Arial" w:cs="Arial"/>
                <w:lang w:eastAsia="es-ES"/>
              </w:rPr>
              <w:t>-100%</w:t>
            </w:r>
            <w:r w:rsidR="0011027B">
              <w:rPr>
                <w:rFonts w:ascii="Arial" w:hAnsi="Arial" w:cs="Arial"/>
                <w:lang w:eastAsia="es-ES"/>
              </w:rPr>
              <w:t>. Sin embargo, hay que analizar</w:t>
            </w:r>
            <w:r>
              <w:rPr>
                <w:rFonts w:ascii="Arial" w:hAnsi="Arial" w:cs="Arial"/>
                <w:lang w:eastAsia="es-ES"/>
              </w:rPr>
              <w:t xml:space="preserve"> este resultado</w:t>
            </w:r>
            <w:r w:rsidR="0011027B">
              <w:rPr>
                <w:rFonts w:ascii="Arial" w:hAnsi="Arial" w:cs="Arial"/>
                <w:lang w:eastAsia="es-ES"/>
              </w:rPr>
              <w:t xml:space="preserve"> desde la perspectiva de que se tienen pocos datos y que en muchas ocasiones </w:t>
            </w:r>
            <w:r w:rsidR="00221128">
              <w:rPr>
                <w:rFonts w:ascii="Arial" w:hAnsi="Arial" w:cs="Arial"/>
                <w:lang w:eastAsia="es-ES"/>
              </w:rPr>
              <w:t>son incompletos</w:t>
            </w:r>
            <w:r>
              <w:rPr>
                <w:rFonts w:ascii="Arial" w:hAnsi="Arial" w:cs="Arial"/>
                <w:lang w:eastAsia="es-ES"/>
              </w:rPr>
              <w:t>, lo que puede dar</w:t>
            </w:r>
            <w:r w:rsidR="00221128">
              <w:rPr>
                <w:rFonts w:ascii="Arial" w:hAnsi="Arial" w:cs="Arial"/>
                <w:lang w:eastAsia="es-ES"/>
              </w:rPr>
              <w:t xml:space="preserve"> lugar a</w:t>
            </w:r>
            <w:r>
              <w:rPr>
                <w:rFonts w:ascii="Arial" w:hAnsi="Arial" w:cs="Arial"/>
                <w:lang w:eastAsia="es-ES"/>
              </w:rPr>
              <w:t xml:space="preserve"> una </w:t>
            </w:r>
            <w:r w:rsidRPr="0011027B">
              <w:rPr>
                <w:rFonts w:ascii="Arial" w:hAnsi="Arial" w:cs="Arial"/>
                <w:szCs w:val="16"/>
              </w:rPr>
              <w:t>sobreestimación de los registros que quedan fuera de RN2000 respecto a los que quedan claramente dentro</w:t>
            </w:r>
            <w:r>
              <w:rPr>
                <w:rFonts w:ascii="Arial" w:hAnsi="Arial" w:cs="Arial"/>
                <w:szCs w:val="16"/>
              </w:rPr>
              <w:t xml:space="preserve"> tal como </w:t>
            </w:r>
            <w:r>
              <w:rPr>
                <w:rFonts w:ascii="Arial" w:hAnsi="Arial" w:cs="Arial"/>
                <w:lang w:eastAsia="es-ES"/>
              </w:rPr>
              <w:t xml:space="preserve">se explica al inicio de este apartado. Además, la </w:t>
            </w:r>
            <w:r>
              <w:rPr>
                <w:rFonts w:ascii="Arial" w:hAnsi="Arial" w:cs="Arial"/>
                <w:szCs w:val="16"/>
              </w:rPr>
              <w:t xml:space="preserve">distribución de la especie, según </w:t>
            </w:r>
            <w:proofErr w:type="spellStart"/>
            <w:r>
              <w:rPr>
                <w:rFonts w:ascii="Arial" w:hAnsi="Arial" w:cs="Arial"/>
                <w:szCs w:val="16"/>
              </w:rPr>
              <w:t>Gainzarain</w:t>
            </w:r>
            <w:proofErr w:type="spellEnd"/>
            <w:r>
              <w:rPr>
                <w:rFonts w:ascii="Arial" w:hAnsi="Arial" w:cs="Arial"/>
                <w:szCs w:val="16"/>
              </w:rPr>
              <w:t xml:space="preserve"> (2018), se limita al paso del río Ebro por la Rioja Alavesa, con lo que es muy probable que se trate de falta de información y no de un declive real de la especie fuera de RN2000.</w:t>
            </w:r>
          </w:p>
          <w:p w:rsidR="0011027B" w:rsidRPr="00006C50" w:rsidRDefault="00256663" w:rsidP="00146247">
            <w:pPr>
              <w:spacing w:before="240" w:line="276" w:lineRule="auto"/>
              <w:jc w:val="both"/>
              <w:rPr>
                <w:rFonts w:ascii="Arial" w:hAnsi="Arial" w:cs="Arial"/>
                <w:lang w:eastAsia="es-ES"/>
              </w:rPr>
            </w:pPr>
            <w:r>
              <w:rPr>
                <w:rFonts w:ascii="Arial" w:hAnsi="Arial" w:cs="Arial"/>
                <w:lang w:eastAsia="es-ES"/>
              </w:rPr>
              <w:t>A la vista de los resultados obtenidos en las tendencias y la restringida distribución de la especie, se concluye que su situación en la CAPV es desfavorable.</w:t>
            </w:r>
          </w:p>
          <w:p w:rsidR="00146247" w:rsidRDefault="00CB0D75" w:rsidP="00146247">
            <w:pPr>
              <w:spacing w:before="240" w:line="276" w:lineRule="auto"/>
              <w:jc w:val="both"/>
              <w:rPr>
                <w:rFonts w:ascii="Arial" w:eastAsia="Calibri" w:hAnsi="Arial" w:cs="Arial"/>
                <w:noProof/>
                <w:sz w:val="20"/>
                <w:lang w:eastAsia="es-ES"/>
              </w:rPr>
            </w:pPr>
            <w:r>
              <w:rPr>
                <w:rFonts w:ascii="Arial" w:eastAsia="Calibri" w:hAnsi="Arial" w:cs="Arial"/>
                <w:noProof/>
                <w:sz w:val="20"/>
                <w:lang w:eastAsia="es-ES"/>
              </w:rPr>
              <w:drawing>
                <wp:inline distT="0" distB="0" distL="0" distR="0" wp14:anchorId="63A06326" wp14:editId="1B08A02B">
                  <wp:extent cx="4286250" cy="3314557"/>
                  <wp:effectExtent l="0" t="0" r="0" b="63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mia splendens.png"/>
                          <pic:cNvPicPr/>
                        </pic:nvPicPr>
                        <pic:blipFill rotWithShape="1">
                          <a:blip r:embed="rId11" cstate="print">
                            <a:extLst>
                              <a:ext uri="{28A0092B-C50C-407E-A947-70E740481C1C}">
                                <a14:useLocalDpi xmlns:a14="http://schemas.microsoft.com/office/drawing/2010/main" val="0"/>
                              </a:ext>
                            </a:extLst>
                          </a:blip>
                          <a:srcRect l="5337" t="1887" r="6379" b="1572"/>
                          <a:stretch/>
                        </pic:blipFill>
                        <pic:spPr bwMode="auto">
                          <a:xfrm>
                            <a:off x="0" y="0"/>
                            <a:ext cx="4285006" cy="3313595"/>
                          </a:xfrm>
                          <a:prstGeom prst="rect">
                            <a:avLst/>
                          </a:prstGeom>
                          <a:ln>
                            <a:noFill/>
                          </a:ln>
                          <a:extLst>
                            <a:ext uri="{53640926-AAD7-44D8-BBD7-CCE9431645EC}">
                              <a14:shadowObscured xmlns:a14="http://schemas.microsoft.com/office/drawing/2010/main"/>
                            </a:ext>
                          </a:extLst>
                        </pic:spPr>
                      </pic:pic>
                    </a:graphicData>
                  </a:graphic>
                </wp:inline>
              </w:drawing>
            </w:r>
          </w:p>
          <w:p w:rsidR="0039742E" w:rsidRPr="00C56915" w:rsidRDefault="00146247" w:rsidP="00C91A60">
            <w:pPr>
              <w:spacing w:before="240" w:line="276" w:lineRule="auto"/>
              <w:jc w:val="both"/>
              <w:rPr>
                <w:rFonts w:ascii="Arial" w:eastAsia="Calibri" w:hAnsi="Arial" w:cs="Arial"/>
                <w:sz w:val="20"/>
                <w:lang w:val="es-ES_tradnl"/>
              </w:rPr>
            </w:pPr>
            <w:r w:rsidRPr="00146247">
              <w:rPr>
                <w:rFonts w:ascii="Arial" w:eastAsia="Calibri" w:hAnsi="Arial" w:cs="Arial"/>
                <w:b/>
                <w:sz w:val="18"/>
                <w:lang w:val="es-ES_tradnl"/>
              </w:rPr>
              <w:t>Figura 1.</w:t>
            </w:r>
            <w:r w:rsidRPr="00146247">
              <w:rPr>
                <w:rFonts w:ascii="Arial" w:eastAsia="Calibri" w:hAnsi="Arial" w:cs="Arial"/>
                <w:sz w:val="18"/>
                <w:lang w:val="es-ES_tradnl"/>
              </w:rPr>
              <w:t xml:space="preserve"> Área de distribución de </w:t>
            </w:r>
            <w:proofErr w:type="spellStart"/>
            <w:r w:rsidR="00416B51">
              <w:rPr>
                <w:rFonts w:ascii="Arial" w:eastAsia="Calibri" w:hAnsi="Arial" w:cs="Arial"/>
                <w:i/>
                <w:sz w:val="18"/>
                <w:lang w:val="es-ES_tradnl"/>
              </w:rPr>
              <w:t>Onychogomphus</w:t>
            </w:r>
            <w:proofErr w:type="spellEnd"/>
            <w:r w:rsidR="00416B51">
              <w:rPr>
                <w:rFonts w:ascii="Arial" w:eastAsia="Calibri" w:hAnsi="Arial" w:cs="Arial"/>
                <w:i/>
                <w:sz w:val="18"/>
                <w:lang w:val="es-ES_tradnl"/>
              </w:rPr>
              <w:t xml:space="preserve"> </w:t>
            </w:r>
            <w:proofErr w:type="spellStart"/>
            <w:r w:rsidR="00C91A60">
              <w:rPr>
                <w:rFonts w:ascii="Arial" w:eastAsia="Calibri" w:hAnsi="Arial" w:cs="Arial"/>
                <w:i/>
                <w:sz w:val="18"/>
                <w:lang w:val="es-ES_tradnl"/>
              </w:rPr>
              <w:t>costae</w:t>
            </w:r>
            <w:proofErr w:type="spellEnd"/>
            <w:r w:rsidRPr="00146247">
              <w:rPr>
                <w:rFonts w:ascii="Arial" w:eastAsia="Calibri" w:hAnsi="Arial" w:cs="Arial"/>
                <w:sz w:val="18"/>
                <w:lang w:val="es-ES_tradnl"/>
              </w:rPr>
              <w:t xml:space="preserve"> en el País Vasco.</w:t>
            </w:r>
            <w:r>
              <w:rPr>
                <w:rFonts w:ascii="Arial" w:eastAsia="Calibri" w:hAnsi="Arial" w:cs="Arial"/>
                <w:sz w:val="18"/>
                <w:lang w:val="es-ES_tradnl"/>
              </w:rPr>
              <w:t xml:space="preserve"> Los datos aparecen agrupados por intervalo temporal: </w:t>
            </w:r>
            <w:r w:rsidR="00CB0D75">
              <w:rPr>
                <w:rFonts w:ascii="Arial" w:eastAsia="Calibri" w:hAnsi="Arial" w:cs="Arial"/>
                <w:sz w:val="18"/>
                <w:lang w:val="es-ES_tradnl"/>
              </w:rPr>
              <w:t>últimos 5 años (2014-2018; abajo a la izquierda), los 5 años anteriores (2009-2013; arriba a la derecha) y los registros anteriores a 2009 (arriba a la izquierda).</w:t>
            </w:r>
            <w:r w:rsidR="00B24285">
              <w:rPr>
                <w:rFonts w:ascii="Arial" w:eastAsia="Calibri" w:hAnsi="Arial" w:cs="Arial"/>
                <w:sz w:val="18"/>
                <w:lang w:val="es-ES_tradnl"/>
              </w:rPr>
              <w:t xml:space="preserve"> Las comparaciones temporales se obtienen mediante balances del número de cuadrículas en los que hay datos comparables en distintos intervalos para minimizar el sesgo de mayor esfuerzo de muestreo en los últimos años, que hace parecer que aumenta el área de distribución.</w:t>
            </w:r>
          </w:p>
        </w:tc>
      </w:tr>
      <w:tr w:rsidR="00BA37B2" w:rsidTr="00B539CE">
        <w:trPr>
          <w:trHeight w:val="7197"/>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 xml:space="preserve">Tamaño de </w:t>
            </w:r>
            <w:r w:rsidRPr="00CF72D3">
              <w:rPr>
                <w:rFonts w:ascii="Arial" w:hAnsi="Arial" w:cs="Arial"/>
                <w:b/>
                <w:sz w:val="20"/>
              </w:rPr>
              <w:t>población</w:t>
            </w:r>
            <w:r w:rsidRPr="00146247">
              <w:rPr>
                <w:rFonts w:ascii="Arial" w:hAnsi="Arial" w:cs="Arial"/>
                <w:b/>
                <w:sz w:val="20"/>
              </w:rPr>
              <w:t>. Evolución</w:t>
            </w:r>
          </w:p>
        </w:tc>
        <w:tc>
          <w:tcPr>
            <w:tcW w:w="6945" w:type="dxa"/>
            <w:gridSpan w:val="4"/>
          </w:tcPr>
          <w:p w:rsidR="00CB0D75" w:rsidRPr="00CB0D75" w:rsidRDefault="00CB0D75" w:rsidP="00497219">
            <w:pPr>
              <w:spacing w:before="240" w:line="276" w:lineRule="auto"/>
              <w:jc w:val="both"/>
              <w:rPr>
                <w:rFonts w:ascii="Arial" w:hAnsi="Arial" w:cs="Arial"/>
                <w:b/>
                <w:lang w:eastAsia="es-ES"/>
              </w:rPr>
            </w:pPr>
            <w:r w:rsidRPr="00CB0D75">
              <w:rPr>
                <w:rFonts w:ascii="Arial" w:hAnsi="Arial" w:cs="Arial"/>
                <w:b/>
                <w:lang w:eastAsia="es-ES"/>
              </w:rPr>
              <w:t>Número de cuadrículas</w:t>
            </w:r>
            <w:r>
              <w:rPr>
                <w:rFonts w:ascii="Arial" w:hAnsi="Arial" w:cs="Arial"/>
                <w:b/>
                <w:lang w:eastAsia="es-ES"/>
              </w:rPr>
              <w:t xml:space="preserve"> UTM 1x1</w:t>
            </w:r>
            <w:r w:rsidRPr="00CB0D75">
              <w:rPr>
                <w:rFonts w:ascii="Arial" w:hAnsi="Arial" w:cs="Arial"/>
                <w:b/>
                <w:lang w:eastAsia="es-ES"/>
              </w:rPr>
              <w:t xml:space="preserve"> km</w:t>
            </w:r>
            <w:r w:rsidR="002332D2">
              <w:rPr>
                <w:rFonts w:ascii="Arial" w:hAnsi="Arial" w:cs="Arial"/>
                <w:b/>
                <w:lang w:eastAsia="es-ES"/>
              </w:rPr>
              <w:t xml:space="preserve"> en los últimos 10 años</w:t>
            </w:r>
            <w:r w:rsidRPr="00CB0D75">
              <w:rPr>
                <w:rFonts w:ascii="Arial" w:hAnsi="Arial" w:cs="Arial"/>
                <w:b/>
                <w:lang w:eastAsia="es-ES"/>
              </w:rPr>
              <w:t>:</w:t>
            </w:r>
          </w:p>
          <w:p w:rsidR="00CB0D75" w:rsidRPr="00CB0D75" w:rsidRDefault="00CB0D75" w:rsidP="00497219">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CAPV: </w:t>
            </w:r>
            <w:r w:rsidR="00AB3C87">
              <w:rPr>
                <w:rFonts w:ascii="Arial" w:hAnsi="Arial" w:cs="Arial"/>
                <w:b/>
                <w:lang w:eastAsia="es-ES"/>
              </w:rPr>
              <w:t>4</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AB3C87">
              <w:rPr>
                <w:rFonts w:ascii="Arial" w:hAnsi="Arial" w:cs="Arial"/>
                <w:b/>
                <w:lang w:eastAsia="es-ES"/>
              </w:rPr>
              <w:t>no citada</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AB3C87">
              <w:rPr>
                <w:rFonts w:ascii="Arial" w:hAnsi="Arial" w:cs="Arial"/>
                <w:b/>
                <w:lang w:eastAsia="es-ES"/>
              </w:rPr>
              <w:t>4</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Red Natura 2000:</w:t>
            </w:r>
            <w:r w:rsidR="002332D2">
              <w:rPr>
                <w:rFonts w:ascii="Arial" w:hAnsi="Arial" w:cs="Arial"/>
                <w:b/>
                <w:lang w:eastAsia="es-ES"/>
              </w:rPr>
              <w:t xml:space="preserve"> </w:t>
            </w:r>
            <w:r w:rsidR="00AB3C87">
              <w:rPr>
                <w:rFonts w:ascii="Arial" w:hAnsi="Arial" w:cs="Arial"/>
                <w:b/>
                <w:lang w:eastAsia="es-ES"/>
              </w:rPr>
              <w:t>3</w:t>
            </w:r>
            <w:r w:rsidRPr="00CB0D75">
              <w:rPr>
                <w:rFonts w:ascii="Arial" w:hAnsi="Arial" w:cs="Arial"/>
                <w:b/>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AB3C87">
              <w:rPr>
                <w:rFonts w:ascii="Arial" w:hAnsi="Arial" w:cs="Arial"/>
                <w:b/>
                <w:lang w:eastAsia="es-ES"/>
              </w:rPr>
              <w:t>1</w:t>
            </w:r>
            <w:r w:rsidRPr="00CB0D75">
              <w:rPr>
                <w:rFonts w:ascii="Arial" w:hAnsi="Arial" w:cs="Arial"/>
                <w:b/>
              </w:rPr>
              <w:t>.</w:t>
            </w:r>
          </w:p>
          <w:p w:rsidR="00256663" w:rsidRDefault="00A31056" w:rsidP="00256663">
            <w:pPr>
              <w:tabs>
                <w:tab w:val="left" w:pos="1020"/>
              </w:tabs>
              <w:spacing w:before="240" w:line="276" w:lineRule="auto"/>
              <w:jc w:val="both"/>
              <w:rPr>
                <w:rFonts w:ascii="Arial" w:hAnsi="Arial" w:cs="Arial"/>
              </w:rPr>
            </w:pPr>
            <w:r>
              <w:rPr>
                <w:rFonts w:ascii="Arial" w:hAnsi="Arial" w:cs="Arial"/>
              </w:rPr>
              <w:t>La información del tamaño y extensión de las poblaciones ibéricas es muy limitada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sidR="00256663">
              <w:rPr>
                <w:rFonts w:ascii="Arial" w:hAnsi="Arial" w:cs="Arial"/>
              </w:rPr>
              <w:t>), situación que se repite en el País Vasco (solo 8 registros con indicación de número de individuos observados). Con esta información de partida, las tendencias halladas han de tomarse de forma orientativa y no definitoria.</w:t>
            </w:r>
          </w:p>
          <w:p w:rsidR="00256663" w:rsidRDefault="00B539CE" w:rsidP="00256663">
            <w:pPr>
              <w:tabs>
                <w:tab w:val="left" w:pos="1020"/>
              </w:tabs>
              <w:spacing w:before="240" w:line="276" w:lineRule="auto"/>
              <w:jc w:val="both"/>
              <w:rPr>
                <w:rFonts w:ascii="Arial" w:hAnsi="Arial" w:cs="Arial"/>
              </w:rPr>
            </w:pPr>
            <w:r>
              <w:rPr>
                <w:rFonts w:ascii="Arial" w:hAnsi="Arial" w:cs="Arial"/>
              </w:rPr>
              <w:t>Las tendencias poblacionales indican un aumento considerable de las mismas tanto a nivel de la Comunidad Autónoma (181%) como en la región Mediterránea (181%) y espacios dentro de RN2000 (852%). En este sentido, estos datos presuponen una situación favorable de la especie en la zona.</w:t>
            </w:r>
          </w:p>
          <w:p w:rsidR="00B539CE" w:rsidRPr="007D4376" w:rsidRDefault="00B539CE" w:rsidP="00256663">
            <w:pPr>
              <w:tabs>
                <w:tab w:val="left" w:pos="1020"/>
              </w:tabs>
              <w:spacing w:before="240" w:line="276" w:lineRule="auto"/>
              <w:jc w:val="both"/>
              <w:rPr>
                <w:rFonts w:ascii="Arial" w:hAnsi="Arial" w:cs="Arial"/>
              </w:rPr>
            </w:pPr>
            <w:r>
              <w:rPr>
                <w:rFonts w:ascii="Arial" w:hAnsi="Arial" w:cs="Arial"/>
              </w:rPr>
              <w:t>Destacar que, al igual que en el apartado anterior, la tendencia en espacios fuera de RN2000 resulta negativa (-100%), lo cual puede deberse a la falta de información (en cuanto a número de registros y compleción de los mismos).</w:t>
            </w:r>
          </w:p>
        </w:tc>
      </w:tr>
      <w:tr w:rsidR="00BA37B2" w:rsidTr="00AB3C87">
        <w:trPr>
          <w:trHeight w:val="113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Descripción del hábitat</w:t>
            </w:r>
          </w:p>
        </w:tc>
        <w:tc>
          <w:tcPr>
            <w:tcW w:w="6945" w:type="dxa"/>
            <w:gridSpan w:val="4"/>
            <w:vAlign w:val="center"/>
          </w:tcPr>
          <w:p w:rsidR="007E5B47" w:rsidRDefault="00AB3C87" w:rsidP="00A31056">
            <w:pPr>
              <w:spacing w:before="240" w:line="276" w:lineRule="auto"/>
              <w:jc w:val="both"/>
              <w:rPr>
                <w:rFonts w:ascii="Arial" w:hAnsi="Arial" w:cs="Arial"/>
                <w:lang w:eastAsia="es-ES"/>
              </w:rPr>
            </w:pPr>
            <w:r>
              <w:rPr>
                <w:rFonts w:ascii="Arial" w:hAnsi="Arial" w:cs="Arial"/>
                <w:lang w:eastAsia="es-ES"/>
              </w:rPr>
              <w:t xml:space="preserve">El hábitat preferente son ríos caudalosos con sedimentos finos en su lecho, en ambientes áridos o </w:t>
            </w:r>
            <w:proofErr w:type="spellStart"/>
            <w:r>
              <w:rPr>
                <w:rFonts w:ascii="Arial" w:hAnsi="Arial" w:cs="Arial"/>
                <w:lang w:eastAsia="es-ES"/>
              </w:rPr>
              <w:t>semi</w:t>
            </w:r>
            <w:proofErr w:type="spellEnd"/>
            <w:r>
              <w:rPr>
                <w:rFonts w:ascii="Arial" w:hAnsi="Arial" w:cs="Arial"/>
                <w:lang w:eastAsia="es-ES"/>
              </w:rPr>
              <w:t>-áridos con zonas de vegetación herbácea seca para madurar y alimentarse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xml:space="preserve">; </w:t>
            </w:r>
            <w:proofErr w:type="spellStart"/>
            <w:r>
              <w:rPr>
                <w:rFonts w:ascii="Arial" w:hAnsi="Arial" w:cs="Arial"/>
                <w:lang w:eastAsia="es-ES"/>
              </w:rPr>
              <w:t>Gainzarain</w:t>
            </w:r>
            <w:proofErr w:type="spellEnd"/>
            <w:r>
              <w:rPr>
                <w:rFonts w:ascii="Arial" w:hAnsi="Arial" w:cs="Arial"/>
                <w:lang w:eastAsia="es-ES"/>
              </w:rPr>
              <w:t>, 2018; Ocharan et al., 2011).</w:t>
            </w:r>
          </w:p>
          <w:p w:rsidR="00A31056" w:rsidRPr="00F02E87" w:rsidRDefault="00A31056" w:rsidP="00A31056">
            <w:pPr>
              <w:spacing w:before="240" w:line="276" w:lineRule="auto"/>
              <w:jc w:val="both"/>
              <w:rPr>
                <w:rFonts w:ascii="Arial" w:hAnsi="Arial" w:cs="Arial"/>
                <w:lang w:eastAsia="es-ES"/>
              </w:rPr>
            </w:pPr>
            <w:r>
              <w:rPr>
                <w:rFonts w:ascii="Arial" w:hAnsi="Arial" w:cs="Arial"/>
                <w:lang w:eastAsia="es-ES"/>
              </w:rPr>
              <w:t xml:space="preserve">Esto coincide con los hallazgos en País Vasco, donde se ha encontrado en varios puntos del río Ebro, río caudaloso y </w:t>
            </w:r>
            <w:proofErr w:type="spellStart"/>
            <w:r>
              <w:rPr>
                <w:rFonts w:ascii="Arial" w:hAnsi="Arial" w:cs="Arial"/>
                <w:lang w:eastAsia="es-ES"/>
              </w:rPr>
              <w:t>meandriforme</w:t>
            </w:r>
            <w:proofErr w:type="spellEnd"/>
            <w:r>
              <w:rPr>
                <w:rFonts w:ascii="Arial" w:hAnsi="Arial" w:cs="Arial"/>
                <w:lang w:eastAsia="es-ES"/>
              </w:rPr>
              <w:t>, posada en herbazales o en la tierra desnuda de viñedos o caminos (</w:t>
            </w:r>
            <w:proofErr w:type="spellStart"/>
            <w:r>
              <w:rPr>
                <w:rFonts w:ascii="Arial" w:hAnsi="Arial" w:cs="Arial"/>
                <w:lang w:eastAsia="es-ES"/>
              </w:rPr>
              <w:t>Gainzarain</w:t>
            </w:r>
            <w:proofErr w:type="spellEnd"/>
            <w:r>
              <w:rPr>
                <w:rFonts w:ascii="Arial" w:hAnsi="Arial" w:cs="Arial"/>
                <w:lang w:eastAsia="es-ES"/>
              </w:rPr>
              <w:t>, 2018).</w:t>
            </w:r>
          </w:p>
        </w:tc>
      </w:tr>
      <w:tr w:rsidR="00BA37B2" w:rsidTr="00F37348">
        <w:trPr>
          <w:trHeight w:val="240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Biología y ecología de la especie</w:t>
            </w:r>
          </w:p>
        </w:tc>
        <w:tc>
          <w:tcPr>
            <w:tcW w:w="6945" w:type="dxa"/>
            <w:gridSpan w:val="4"/>
            <w:tcBorders>
              <w:bottom w:val="single" w:sz="4" w:space="0" w:color="auto"/>
            </w:tcBorders>
          </w:tcPr>
          <w:p w:rsidR="00A31056" w:rsidRDefault="000123A9" w:rsidP="00497219">
            <w:pPr>
              <w:spacing w:before="240" w:line="276" w:lineRule="auto"/>
              <w:jc w:val="both"/>
              <w:rPr>
                <w:rFonts w:ascii="Arial" w:hAnsi="Arial" w:cs="Arial"/>
              </w:rPr>
            </w:pPr>
            <w:r>
              <w:rPr>
                <w:rFonts w:ascii="Arial" w:hAnsi="Arial" w:cs="Arial"/>
              </w:rPr>
              <w:t xml:space="preserve">El periodo de vuelo </w:t>
            </w:r>
            <w:r w:rsidR="00A31056">
              <w:rPr>
                <w:rFonts w:ascii="Arial" w:hAnsi="Arial" w:cs="Arial"/>
              </w:rPr>
              <w:t>de los adultos en España no es muy conocido (</w:t>
            </w:r>
            <w:r w:rsidR="00A31056">
              <w:rPr>
                <w:rFonts w:ascii="Arial" w:hAnsi="Arial" w:cs="Arial"/>
                <w:lang w:eastAsia="es-ES"/>
              </w:rPr>
              <w:t>Ocharan et al., 2011</w:t>
            </w:r>
            <w:r w:rsidR="00A31056">
              <w:rPr>
                <w:rFonts w:ascii="Arial" w:hAnsi="Arial" w:cs="Arial"/>
              </w:rPr>
              <w:t>), si bien en Araba/Álava ha sido observada en los meses estivales (junio a agosto).</w:t>
            </w:r>
          </w:p>
          <w:p w:rsidR="00CA3C63" w:rsidRPr="00514152" w:rsidRDefault="00A31056" w:rsidP="007806CE">
            <w:pPr>
              <w:spacing w:before="240" w:line="276" w:lineRule="auto"/>
              <w:jc w:val="both"/>
              <w:rPr>
                <w:rFonts w:ascii="Arial" w:hAnsi="Arial" w:cs="Arial"/>
              </w:rPr>
            </w:pPr>
            <w:r>
              <w:rPr>
                <w:rFonts w:ascii="Arial" w:hAnsi="Arial" w:cs="Arial"/>
              </w:rPr>
              <w:t>No se conoce bien el</w:t>
            </w:r>
            <w:r w:rsidR="000123A9">
              <w:rPr>
                <w:rFonts w:ascii="Arial" w:hAnsi="Arial" w:cs="Arial"/>
              </w:rPr>
              <w:t xml:space="preserve"> desarrollo larvario </w:t>
            </w:r>
            <w:r w:rsidR="007806CE">
              <w:rPr>
                <w:rFonts w:ascii="Arial" w:hAnsi="Arial" w:cs="Arial"/>
              </w:rPr>
              <w:t>ni su duración, aunque sí se sabe que los adultos se apartan a campos de herbáceas secas para madurar y cazar (</w:t>
            </w:r>
            <w:proofErr w:type="spellStart"/>
            <w:r w:rsidR="007806CE">
              <w:rPr>
                <w:rFonts w:ascii="Arial" w:hAnsi="Arial" w:cs="Arial"/>
              </w:rPr>
              <w:t>Gainzarain</w:t>
            </w:r>
            <w:proofErr w:type="spellEnd"/>
            <w:r w:rsidR="007806CE">
              <w:rPr>
                <w:rFonts w:ascii="Arial" w:hAnsi="Arial" w:cs="Arial"/>
              </w:rPr>
              <w:t xml:space="preserve">, 2018; </w:t>
            </w:r>
            <w:r w:rsidR="007806CE">
              <w:rPr>
                <w:rFonts w:ascii="Arial" w:hAnsi="Arial" w:cs="Arial"/>
                <w:lang w:eastAsia="es-ES"/>
              </w:rPr>
              <w:t>Ocharan et al., 2011</w:t>
            </w:r>
            <w:r w:rsidR="007806CE">
              <w:rPr>
                <w:rFonts w:ascii="Arial" w:hAnsi="Arial" w:cs="Arial"/>
              </w:rPr>
              <w:t>). Allí se mimetizan gracias a su coloración corporal (</w:t>
            </w:r>
            <w:proofErr w:type="spellStart"/>
            <w:r w:rsidR="007806CE">
              <w:rPr>
                <w:rFonts w:ascii="Arial" w:hAnsi="Arial" w:cs="Arial"/>
              </w:rPr>
              <w:t>Galliani</w:t>
            </w:r>
            <w:proofErr w:type="spellEnd"/>
            <w:r w:rsidR="007806CE">
              <w:rPr>
                <w:rFonts w:ascii="Arial" w:hAnsi="Arial" w:cs="Arial"/>
              </w:rPr>
              <w:t xml:space="preserve"> et al., 2017; </w:t>
            </w:r>
            <w:r w:rsidR="007806CE">
              <w:rPr>
                <w:rFonts w:ascii="Arial" w:hAnsi="Arial" w:cs="Arial"/>
                <w:lang w:eastAsia="es-ES"/>
              </w:rPr>
              <w:t>Ocharan et al., 2011</w:t>
            </w:r>
            <w:r w:rsidR="007806CE">
              <w:rPr>
                <w:rFonts w:ascii="Arial" w:hAnsi="Arial" w:cs="Arial"/>
              </w:rPr>
              <w:t>)</w:t>
            </w:r>
            <w:r w:rsidR="000123A9">
              <w:rPr>
                <w:rFonts w:ascii="Arial" w:hAnsi="Arial" w:cs="Arial"/>
              </w:rPr>
              <w:t>.</w:t>
            </w:r>
          </w:p>
        </w:tc>
      </w:tr>
      <w:tr w:rsidR="002419C0" w:rsidRPr="00494083" w:rsidTr="005D3AFA">
        <w:trPr>
          <w:trHeight w:val="571"/>
        </w:trPr>
        <w:tc>
          <w:tcPr>
            <w:tcW w:w="1951" w:type="dxa"/>
            <w:vMerge w:val="restart"/>
            <w:shd w:val="clear" w:color="auto" w:fill="BFBFBF" w:themeFill="background1" w:themeFillShade="BF"/>
          </w:tcPr>
          <w:p w:rsidR="002419C0" w:rsidRPr="00146247" w:rsidRDefault="007806CE" w:rsidP="00146247">
            <w:pPr>
              <w:spacing w:before="240" w:line="360" w:lineRule="auto"/>
              <w:rPr>
                <w:rFonts w:ascii="Arial" w:hAnsi="Arial" w:cs="Arial"/>
                <w:b/>
                <w:sz w:val="20"/>
              </w:rPr>
            </w:pPr>
            <w:r w:rsidRPr="00146247">
              <w:rPr>
                <w:rFonts w:ascii="Arial" w:hAnsi="Arial" w:cs="Arial"/>
                <w:b/>
                <w:sz w:val="20"/>
              </w:rPr>
              <w:t>Factores de amenaza</w:t>
            </w:r>
          </w:p>
        </w:tc>
        <w:tc>
          <w:tcPr>
            <w:tcW w:w="1134" w:type="dxa"/>
            <w:tcBorders>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CÓDIGO</w:t>
            </w:r>
          </w:p>
        </w:tc>
        <w:tc>
          <w:tcPr>
            <w:tcW w:w="4535" w:type="dxa"/>
            <w:gridSpan w:val="2"/>
            <w:tcBorders>
              <w:left w:val="dotted" w:sz="4" w:space="0" w:color="auto"/>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AMENAZA</w:t>
            </w:r>
          </w:p>
        </w:tc>
        <w:tc>
          <w:tcPr>
            <w:tcW w:w="1276" w:type="dxa"/>
            <w:tcBorders>
              <w:left w:val="dotted" w:sz="4" w:space="0" w:color="auto"/>
              <w:bottom w:val="single" w:sz="12"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VIGENCIA</w:t>
            </w:r>
          </w:p>
        </w:tc>
      </w:tr>
      <w:tr w:rsidR="00A72397" w:rsidRPr="00494083"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A04</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Pastoreo</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A07</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Uso de biocidas, hormonas y productos químicos.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Pr="00A72397"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A08</w:t>
            </w:r>
          </w:p>
        </w:tc>
        <w:tc>
          <w:tcPr>
            <w:tcW w:w="4535" w:type="dxa"/>
            <w:gridSpan w:val="2"/>
            <w:tcBorders>
              <w:top w:val="nil"/>
              <w:left w:val="dotted" w:sz="4" w:space="0" w:color="auto"/>
              <w:bottom w:val="nil"/>
              <w:right w:val="dotted" w:sz="4" w:space="0" w:color="auto"/>
            </w:tcBorders>
          </w:tcPr>
          <w:p w:rsidR="00F37348" w:rsidRPr="005441F5"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Uso de fertilizantes</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A09</w:t>
            </w:r>
          </w:p>
        </w:tc>
        <w:tc>
          <w:tcPr>
            <w:tcW w:w="4535" w:type="dxa"/>
            <w:gridSpan w:val="2"/>
            <w:tcBorders>
              <w:top w:val="nil"/>
              <w:left w:val="dotted" w:sz="4" w:space="0" w:color="auto"/>
              <w:bottom w:val="nil"/>
              <w:right w:val="dotted" w:sz="4" w:space="0" w:color="auto"/>
            </w:tcBorders>
          </w:tcPr>
          <w:p w:rsidR="00F37348"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Regadío</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Pr="00A72397"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D01</w:t>
            </w:r>
          </w:p>
        </w:tc>
        <w:tc>
          <w:tcPr>
            <w:tcW w:w="4535" w:type="dxa"/>
            <w:gridSpan w:val="2"/>
            <w:tcBorders>
              <w:top w:val="nil"/>
              <w:left w:val="dotted" w:sz="4" w:space="0" w:color="auto"/>
              <w:bottom w:val="nil"/>
              <w:right w:val="dotted" w:sz="4" w:space="0" w:color="auto"/>
            </w:tcBorders>
          </w:tcPr>
          <w:p w:rsidR="00067143" w:rsidRPr="005441F5"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Carreteras, caminos y vías de tren.</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D06</w:t>
            </w:r>
          </w:p>
        </w:tc>
        <w:tc>
          <w:tcPr>
            <w:tcW w:w="4535" w:type="dxa"/>
            <w:gridSpan w:val="2"/>
            <w:tcBorders>
              <w:top w:val="nil"/>
              <w:left w:val="dotted" w:sz="4" w:space="0" w:color="auto"/>
              <w:bottom w:val="nil"/>
              <w:right w:val="dotted" w:sz="4" w:space="0" w:color="auto"/>
            </w:tcBorders>
          </w:tcPr>
          <w:p w:rsidR="00067143" w:rsidRDefault="00067143"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formas de transporte y comunicaciones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06714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E02</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Urbanización, desarrollo residencial y comercial. Áreas industriales o comerciales.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067143">
        <w:trPr>
          <w:trHeight w:val="567"/>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G01</w:t>
            </w:r>
          </w:p>
        </w:tc>
        <w:tc>
          <w:tcPr>
            <w:tcW w:w="4535" w:type="dxa"/>
            <w:gridSpan w:val="2"/>
            <w:tcBorders>
              <w:top w:val="nil"/>
              <w:left w:val="dotted" w:sz="4" w:space="0" w:color="auto"/>
              <w:bottom w:val="nil"/>
              <w:right w:val="dotted" w:sz="4" w:space="0" w:color="auto"/>
            </w:tcBorders>
          </w:tcPr>
          <w:p w:rsidR="00067143"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Deportes al aire libre y actividades de ocio, actividades recreativas organizadas.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2B4D1E">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G05</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molestias e intrusiones humanas.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H01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Contaminación de aguas superficiales (de agua dulce, marina o salobre).</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7806CE" w:rsidRPr="005441F5" w:rsidTr="005D3AFA">
        <w:trPr>
          <w:trHeight w:val="567"/>
        </w:trPr>
        <w:tc>
          <w:tcPr>
            <w:tcW w:w="1951" w:type="dxa"/>
            <w:vMerge/>
            <w:shd w:val="clear" w:color="auto" w:fill="BFBFBF" w:themeFill="background1" w:themeFillShade="BF"/>
          </w:tcPr>
          <w:p w:rsidR="007806CE" w:rsidRPr="00146247" w:rsidRDefault="007806CE"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7806CE" w:rsidRDefault="007806CE"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I01</w:t>
            </w:r>
          </w:p>
        </w:tc>
        <w:tc>
          <w:tcPr>
            <w:tcW w:w="4535" w:type="dxa"/>
            <w:gridSpan w:val="2"/>
            <w:tcBorders>
              <w:top w:val="nil"/>
              <w:left w:val="dotted" w:sz="4" w:space="0" w:color="auto"/>
              <w:bottom w:val="nil"/>
              <w:right w:val="dotted" w:sz="4" w:space="0" w:color="auto"/>
            </w:tcBorders>
          </w:tcPr>
          <w:p w:rsidR="007806CE" w:rsidRDefault="007806CE"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Especies invasoras y especies alóctonas</w:t>
            </w:r>
          </w:p>
        </w:tc>
        <w:tc>
          <w:tcPr>
            <w:tcW w:w="1276" w:type="dxa"/>
            <w:tcBorders>
              <w:top w:val="nil"/>
              <w:left w:val="dotted" w:sz="4" w:space="0" w:color="auto"/>
              <w:bottom w:val="nil"/>
            </w:tcBorders>
          </w:tcPr>
          <w:p w:rsidR="007806CE" w:rsidRDefault="007806CE"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J02</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Cambios inducidos en las condiciones hidráulicas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2E0C03" w:rsidRPr="005441F5" w:rsidTr="005D3AFA">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J03</w:t>
            </w:r>
          </w:p>
        </w:tc>
        <w:tc>
          <w:tcPr>
            <w:tcW w:w="4535" w:type="dxa"/>
            <w:gridSpan w:val="2"/>
            <w:tcBorders>
              <w:top w:val="nil"/>
              <w:left w:val="dotted" w:sz="4" w:space="0" w:color="auto"/>
              <w:bottom w:val="nil"/>
              <w:right w:val="dotted" w:sz="4" w:space="0" w:color="auto"/>
            </w:tcBorders>
          </w:tcPr>
          <w:p w:rsidR="002E0C03" w:rsidRDefault="002E0C0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alteraciones de los ecosistemas</w:t>
            </w:r>
          </w:p>
        </w:tc>
        <w:tc>
          <w:tcPr>
            <w:tcW w:w="1276" w:type="dxa"/>
            <w:tcBorders>
              <w:top w:val="nil"/>
              <w:left w:val="dotted" w:sz="4" w:space="0" w:color="auto"/>
              <w:bottom w:val="nil"/>
            </w:tcBorders>
          </w:tcPr>
          <w:p w:rsidR="002E0C0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624D1F">
              <w:rPr>
                <w:rFonts w:ascii="Arial" w:eastAsia="Times New Roman" w:hAnsi="Arial" w:cs="Arial"/>
                <w:color w:val="000000" w:themeColor="text1"/>
                <w:sz w:val="20"/>
                <w:lang w:eastAsia="es-ES"/>
              </w:rPr>
              <w:t xml:space="preserve">Cambio climático. </w:t>
            </w:r>
            <w:r w:rsidRPr="005441F5">
              <w:rPr>
                <w:rFonts w:ascii="Arial" w:eastAsia="Times New Roman" w:hAnsi="Arial" w:cs="Arial"/>
                <w:color w:val="000000" w:themeColor="text1"/>
                <w:sz w:val="20"/>
                <w:lang w:eastAsia="es-ES"/>
              </w:rPr>
              <w:t>Cambios en las condiciones abi</w:t>
            </w:r>
            <w:r>
              <w:rPr>
                <w:rFonts w:ascii="Arial" w:eastAsia="Times New Roman" w:hAnsi="Arial" w:cs="Arial"/>
                <w:color w:val="000000" w:themeColor="text1"/>
                <w:sz w:val="20"/>
                <w:lang w:eastAsia="es-ES"/>
              </w:rPr>
              <w:t>óticas.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right w:val="dotted" w:sz="4" w:space="0" w:color="auto"/>
            </w:tcBorders>
          </w:tcPr>
          <w:p w:rsidR="00A72397" w:rsidRDefault="00A72397" w:rsidP="008A5C56">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M02</w:t>
            </w:r>
          </w:p>
        </w:tc>
        <w:tc>
          <w:tcPr>
            <w:tcW w:w="4535" w:type="dxa"/>
            <w:gridSpan w:val="2"/>
            <w:tcBorders>
              <w:top w:val="nil"/>
              <w:left w:val="dotted" w:sz="4" w:space="0" w:color="auto"/>
              <w:right w:val="dotted" w:sz="4" w:space="0" w:color="auto"/>
            </w:tcBorders>
          </w:tcPr>
          <w:p w:rsidR="00A72397" w:rsidRPr="005441F5" w:rsidRDefault="00A72397" w:rsidP="008A5C56">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 xml:space="preserve">Cambio climático. </w:t>
            </w:r>
            <w:r>
              <w:rPr>
                <w:rFonts w:ascii="Arial" w:eastAsia="Times New Roman" w:hAnsi="Arial" w:cs="Arial"/>
                <w:color w:val="000000" w:themeColor="text1"/>
                <w:sz w:val="20"/>
                <w:lang w:eastAsia="es-ES"/>
              </w:rPr>
              <w:t xml:space="preserve">Cambios en las condiciones </w:t>
            </w:r>
            <w:r w:rsidRPr="005441F5">
              <w:rPr>
                <w:rFonts w:ascii="Arial" w:eastAsia="Times New Roman" w:hAnsi="Arial" w:cs="Arial"/>
                <w:color w:val="000000" w:themeColor="text1"/>
                <w:sz w:val="20"/>
                <w:lang w:eastAsia="es-ES"/>
              </w:rPr>
              <w:t>bi</w:t>
            </w:r>
            <w:r>
              <w:rPr>
                <w:rFonts w:ascii="Arial" w:eastAsia="Times New Roman" w:hAnsi="Arial" w:cs="Arial"/>
                <w:color w:val="000000" w:themeColor="text1"/>
                <w:sz w:val="20"/>
                <w:lang w:eastAsia="es-ES"/>
              </w:rPr>
              <w:t>óticas.</w:t>
            </w:r>
          </w:p>
        </w:tc>
        <w:tc>
          <w:tcPr>
            <w:tcW w:w="1276" w:type="dxa"/>
            <w:tcBorders>
              <w:top w:val="nil"/>
              <w:left w:val="dotted" w:sz="4" w:space="0" w:color="auto"/>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Tr="005D3AFA">
        <w:trPr>
          <w:trHeight w:val="1146"/>
        </w:trPr>
        <w:tc>
          <w:tcPr>
            <w:tcW w:w="1951" w:type="dxa"/>
            <w:vMerge w:val="restart"/>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Medidas de conservación</w:t>
            </w:r>
          </w:p>
        </w:tc>
        <w:tc>
          <w:tcPr>
            <w:tcW w:w="6945" w:type="dxa"/>
            <w:gridSpan w:val="4"/>
            <w:tcBorders>
              <w:bottom w:val="single" w:sz="4" w:space="0" w:color="auto"/>
            </w:tcBorders>
          </w:tcPr>
          <w:p w:rsidR="00A72397" w:rsidRDefault="00A72397" w:rsidP="005D3AFA">
            <w:pPr>
              <w:spacing w:before="240" w:line="276" w:lineRule="auto"/>
              <w:rPr>
                <w:rFonts w:ascii="Arial" w:hAnsi="Arial" w:cs="Arial"/>
              </w:rPr>
            </w:pPr>
            <w:r>
              <w:rPr>
                <w:rFonts w:ascii="Arial" w:hAnsi="Arial" w:cs="Arial"/>
              </w:rPr>
              <w:t>Se toma como referencia la lista de medidas de conservación de la Directiva Hábitats, actualizada a fecha de 07/05/2018. (</w:t>
            </w:r>
            <w:hyperlink r:id="rId12" w:history="1">
              <w:r w:rsidRPr="0050657D">
                <w:rPr>
                  <w:rStyle w:val="Hipervnculo"/>
                  <w:rFonts w:ascii="Arial" w:hAnsi="Arial" w:cs="Arial"/>
                  <w:sz w:val="20"/>
                </w:rPr>
                <w:t>http://cdr.eionet.europa.eu/help/habitats_art17</w:t>
              </w:r>
            </w:hyperlink>
            <w:r>
              <w:rPr>
                <w:rFonts w:ascii="Arial" w:hAnsi="Arial" w:cs="Arial"/>
              </w:rPr>
              <w:t>):</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CÓDIGO</w:t>
            </w:r>
          </w:p>
        </w:tc>
        <w:tc>
          <w:tcPr>
            <w:tcW w:w="5811" w:type="dxa"/>
            <w:gridSpan w:val="3"/>
            <w:tcBorders>
              <w:left w:val="dotted" w:sz="4" w:space="0" w:color="auto"/>
              <w:bottom w:val="single" w:sz="12"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MEDIDA</w:t>
            </w:r>
          </w:p>
        </w:tc>
      </w:tr>
      <w:tr w:rsidR="00A72397" w:rsidTr="002E0C03">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single" w:sz="12" w:space="0" w:color="auto"/>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Arial"/>
                <w:sz w:val="20"/>
                <w:szCs w:val="20"/>
              </w:rPr>
              <w:t>CA05</w:t>
            </w:r>
          </w:p>
        </w:tc>
        <w:tc>
          <w:tcPr>
            <w:tcW w:w="5811" w:type="dxa"/>
            <w:gridSpan w:val="3"/>
            <w:tcBorders>
              <w:top w:val="single" w:sz="12" w:space="0" w:color="auto"/>
              <w:left w:val="dotted" w:sz="4" w:space="0" w:color="auto"/>
              <w:bottom w:val="nil"/>
            </w:tcBorders>
          </w:tcPr>
          <w:p w:rsidR="00A72397" w:rsidRPr="005D3AFA" w:rsidRDefault="00A72397" w:rsidP="005D3AFA">
            <w:pPr>
              <w:rPr>
                <w:rFonts w:ascii="Arial" w:hAnsi="Arial" w:cs="Arial"/>
                <w:sz w:val="20"/>
                <w:szCs w:val="20"/>
              </w:rPr>
            </w:pPr>
            <w:r>
              <w:rPr>
                <w:rFonts w:ascii="Arial" w:hAnsi="Arial" w:cs="Arial"/>
                <w:sz w:val="20"/>
                <w:szCs w:val="20"/>
              </w:rPr>
              <w:t>Adaptación de usos pastoriles y ganaderos</w:t>
            </w:r>
            <w:r w:rsidRPr="00B97C8A">
              <w:rPr>
                <w:rFonts w:ascii="Arial" w:hAnsi="Arial" w:cs="Verdana,Bold"/>
                <w:bCs/>
                <w:color w:val="70AD47" w:themeColor="accent6"/>
                <w:sz w:val="20"/>
                <w:szCs w:val="18"/>
              </w:rPr>
              <w:t xml:space="preserve"> </w:t>
            </w:r>
          </w:p>
        </w:tc>
      </w:tr>
      <w:tr w:rsidR="00A72397" w:rsidTr="002E0C0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CA09</w:t>
            </w:r>
          </w:p>
        </w:tc>
        <w:tc>
          <w:tcPr>
            <w:tcW w:w="5811" w:type="dxa"/>
            <w:gridSpan w:val="3"/>
            <w:tcBorders>
              <w:top w:val="nil"/>
              <w:left w:val="dotted" w:sz="4" w:space="0" w:color="auto"/>
              <w:bottom w:val="nil"/>
            </w:tcBorders>
          </w:tcPr>
          <w:p w:rsidR="00A72397" w:rsidRDefault="00A72397" w:rsidP="005D3AFA">
            <w:pPr>
              <w:rPr>
                <w:rFonts w:ascii="Arial" w:hAnsi="Arial" w:cs="Arial"/>
                <w:sz w:val="20"/>
                <w:szCs w:val="20"/>
              </w:rPr>
            </w:pPr>
            <w:r>
              <w:rPr>
                <w:rFonts w:ascii="Arial" w:hAnsi="Arial" w:cs="Arial"/>
                <w:sz w:val="20"/>
                <w:szCs w:val="20"/>
              </w:rPr>
              <w:t>Control del uso de fertilizantes y químicos en la producción agrícola y ganadera.</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CA10</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Pr>
                <w:rFonts w:ascii="Arial" w:hAnsi="Arial" w:cs="Arial"/>
                <w:sz w:val="20"/>
                <w:szCs w:val="20"/>
              </w:rPr>
              <w:t>Reducción/eliminación de vertidos derivados de la producción agrícola y ganadera a las aguas superficiales.</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D3AFA">
            <w:pPr>
              <w:jc w:val="center"/>
              <w:rPr>
                <w:rFonts w:ascii="Arial" w:hAnsi="Arial" w:cs="Arial"/>
                <w:sz w:val="20"/>
                <w:szCs w:val="20"/>
              </w:rPr>
            </w:pPr>
            <w:r>
              <w:rPr>
                <w:rFonts w:ascii="Arial" w:hAnsi="Arial" w:cs="Arial"/>
                <w:sz w:val="20"/>
                <w:szCs w:val="20"/>
              </w:rPr>
              <w:t>CB09</w:t>
            </w:r>
          </w:p>
        </w:tc>
        <w:tc>
          <w:tcPr>
            <w:tcW w:w="5811" w:type="dxa"/>
            <w:gridSpan w:val="3"/>
            <w:tcBorders>
              <w:top w:val="nil"/>
              <w:left w:val="dotted" w:sz="4" w:space="0" w:color="auto"/>
              <w:bottom w:val="nil"/>
            </w:tcBorders>
          </w:tcPr>
          <w:p w:rsidR="00A72397" w:rsidRDefault="00A72397" w:rsidP="002B4D1E">
            <w:pPr>
              <w:rPr>
                <w:rFonts w:ascii="Arial" w:hAnsi="Arial" w:cs="Arial"/>
                <w:sz w:val="20"/>
                <w:szCs w:val="20"/>
              </w:rPr>
            </w:pPr>
            <w:r>
              <w:rPr>
                <w:rFonts w:ascii="Arial" w:hAnsi="Arial" w:cs="Arial"/>
                <w:sz w:val="20"/>
                <w:szCs w:val="20"/>
              </w:rPr>
              <w:t>Control del uso de fertilizantes, encalado y control de plagas en la producción forestal.</w:t>
            </w:r>
          </w:p>
        </w:tc>
      </w:tr>
      <w:tr w:rsidR="002E0C03" w:rsidTr="000329AF">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CE01</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Reducción del impacto de las operaciones de transporte y su infraestructura.</w:t>
            </w:r>
          </w:p>
        </w:tc>
      </w:tr>
      <w:tr w:rsidR="002E0C03" w:rsidTr="002E0C03">
        <w:trPr>
          <w:trHeight w:val="794"/>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CF02</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Restauración de hábitats afectados por</w:t>
            </w:r>
            <w:r>
              <w:rPr>
                <w:rFonts w:ascii="Arial" w:hAnsi="Arial" w:cs="Verdana,Bold"/>
                <w:bCs/>
                <w:sz w:val="20"/>
                <w:szCs w:val="18"/>
              </w:rPr>
              <w:t xml:space="preserve"> actividades, operaciones y/o infraestructuras residenciales, comerciales, industriales y recreacionales.</w:t>
            </w:r>
          </w:p>
        </w:tc>
      </w:tr>
      <w:tr w:rsidR="00A72397" w:rsidTr="002B4D1E">
        <w:trPr>
          <w:trHeight w:val="102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sidRPr="005D3AFA">
              <w:rPr>
                <w:rFonts w:ascii="Arial" w:hAnsi="Arial" w:cs="Verdana,Bold"/>
                <w:bCs/>
                <w:sz w:val="20"/>
                <w:szCs w:val="18"/>
              </w:rPr>
              <w:t>CF04</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sidRPr="005D3AFA">
              <w:rPr>
                <w:rFonts w:ascii="Arial" w:hAnsi="Arial" w:cs="Verdana,Bold"/>
                <w:bCs/>
                <w:sz w:val="20"/>
                <w:szCs w:val="18"/>
              </w:rPr>
              <w:t>Reducción</w:t>
            </w:r>
            <w:r>
              <w:rPr>
                <w:rFonts w:ascii="Arial" w:hAnsi="Arial" w:cs="Verdana,Bold"/>
                <w:bCs/>
                <w:sz w:val="20"/>
                <w:szCs w:val="18"/>
              </w:rPr>
              <w:t>/eliminación</w:t>
            </w:r>
            <w:r w:rsidRPr="005D3AFA">
              <w:rPr>
                <w:rFonts w:ascii="Arial" w:hAnsi="Arial" w:cs="Verdana,Bold"/>
                <w:bCs/>
                <w:sz w:val="20"/>
                <w:szCs w:val="18"/>
              </w:rPr>
              <w:t xml:space="preserve"> de </w:t>
            </w:r>
            <w:r>
              <w:rPr>
                <w:rFonts w:ascii="Arial" w:hAnsi="Arial" w:cs="Verdana,Bold"/>
                <w:bCs/>
                <w:sz w:val="20"/>
                <w:szCs w:val="18"/>
              </w:rPr>
              <w:t>la contaminación de aguas superficiales debido a actividades, operaciones y/o infraestructuras residenciales, comerciales, industriales y recreacionales.</w:t>
            </w:r>
          </w:p>
        </w:tc>
      </w:tr>
      <w:tr w:rsidR="007806CE" w:rsidTr="007806CE">
        <w:trPr>
          <w:trHeight w:val="340"/>
        </w:trPr>
        <w:tc>
          <w:tcPr>
            <w:tcW w:w="1951" w:type="dxa"/>
            <w:vMerge/>
            <w:shd w:val="clear" w:color="auto" w:fill="BFBFBF" w:themeFill="background1" w:themeFillShade="BF"/>
          </w:tcPr>
          <w:p w:rsidR="007806CE" w:rsidRPr="00146247" w:rsidRDefault="007806CE"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7806CE" w:rsidRPr="005D3AFA" w:rsidRDefault="007806CE" w:rsidP="005D3AFA">
            <w:pPr>
              <w:jc w:val="center"/>
              <w:rPr>
                <w:rFonts w:ascii="Arial" w:hAnsi="Arial" w:cs="Verdana,Bold"/>
                <w:bCs/>
                <w:sz w:val="20"/>
                <w:szCs w:val="18"/>
              </w:rPr>
            </w:pPr>
            <w:r>
              <w:rPr>
                <w:rFonts w:ascii="Arial" w:hAnsi="Arial" w:cs="Verdana,Bold"/>
                <w:bCs/>
                <w:sz w:val="20"/>
                <w:szCs w:val="18"/>
              </w:rPr>
              <w:t>CI02</w:t>
            </w:r>
          </w:p>
        </w:tc>
        <w:tc>
          <w:tcPr>
            <w:tcW w:w="5811" w:type="dxa"/>
            <w:gridSpan w:val="3"/>
            <w:tcBorders>
              <w:top w:val="nil"/>
              <w:left w:val="dotted" w:sz="4" w:space="0" w:color="auto"/>
              <w:bottom w:val="nil"/>
            </w:tcBorders>
          </w:tcPr>
          <w:p w:rsidR="007806CE" w:rsidRPr="005D3AFA" w:rsidRDefault="007806CE" w:rsidP="007806CE">
            <w:pPr>
              <w:rPr>
                <w:rFonts w:ascii="Arial" w:hAnsi="Arial" w:cs="Verdana,Bold"/>
                <w:bCs/>
                <w:sz w:val="20"/>
                <w:szCs w:val="18"/>
              </w:rPr>
            </w:pPr>
            <w:r>
              <w:rPr>
                <w:rFonts w:ascii="Arial" w:hAnsi="Arial" w:cs="Verdana,Bold"/>
                <w:bCs/>
                <w:sz w:val="20"/>
                <w:szCs w:val="18"/>
              </w:rPr>
              <w:t>Gestión y erradicación de especies invasoras</w:t>
            </w:r>
          </w:p>
        </w:tc>
      </w:tr>
      <w:tr w:rsidR="00A72397" w:rsidTr="002B4D1E">
        <w:trPr>
          <w:trHeight w:val="510"/>
        </w:trPr>
        <w:tc>
          <w:tcPr>
            <w:tcW w:w="1951" w:type="dxa"/>
            <w:vMerge/>
            <w:shd w:val="clear" w:color="auto" w:fill="BFBFBF" w:themeFill="background1" w:themeFillShade="BF"/>
          </w:tcPr>
          <w:p w:rsidR="00A72397" w:rsidRPr="00624D1F"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CJ02</w:t>
            </w:r>
          </w:p>
        </w:tc>
        <w:tc>
          <w:tcPr>
            <w:tcW w:w="5811" w:type="dxa"/>
            <w:gridSpan w:val="3"/>
            <w:tcBorders>
              <w:top w:val="nil"/>
              <w:left w:val="dotted" w:sz="4" w:space="0" w:color="auto"/>
              <w:bottom w:val="nil"/>
            </w:tcBorders>
          </w:tcPr>
          <w:p w:rsidR="00A72397" w:rsidRPr="005D3AFA" w:rsidRDefault="00A72397" w:rsidP="002B4D1E">
            <w:pPr>
              <w:rPr>
                <w:rFonts w:ascii="Arial" w:hAnsi="Arial" w:cs="Arial"/>
                <w:sz w:val="20"/>
                <w:szCs w:val="20"/>
              </w:rPr>
            </w:pPr>
            <w:r w:rsidRPr="005D3AFA">
              <w:rPr>
                <w:rFonts w:ascii="Arial" w:hAnsi="Arial" w:cs="Verdana,Bold"/>
                <w:bCs/>
                <w:sz w:val="20"/>
                <w:szCs w:val="18"/>
              </w:rPr>
              <w:t xml:space="preserve">Reducción de impactos de </w:t>
            </w:r>
            <w:r>
              <w:rPr>
                <w:rFonts w:ascii="Arial" w:hAnsi="Arial" w:cs="Verdana,Bold"/>
                <w:bCs/>
                <w:sz w:val="20"/>
                <w:szCs w:val="18"/>
              </w:rPr>
              <w:t>los cambios en las condiciones hidráulicas.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sidRPr="005D3AFA">
              <w:rPr>
                <w:rFonts w:ascii="Arial" w:hAnsi="Arial" w:cs="Verdana,Bold"/>
                <w:bCs/>
                <w:sz w:val="20"/>
                <w:szCs w:val="18"/>
              </w:rPr>
              <w:t>Mejora de la conectividad entre hábitats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Pr>
                <w:rFonts w:ascii="Arial" w:hAnsi="Arial" w:cs="Verdana,Bold"/>
                <w:bCs/>
                <w:sz w:val="20"/>
                <w:szCs w:val="18"/>
              </w:rPr>
              <w:t>CN01</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Pr>
                <w:rFonts w:ascii="Arial" w:hAnsi="Arial" w:cs="Verdana,Bold"/>
                <w:bCs/>
                <w:sz w:val="20"/>
                <w:szCs w:val="18"/>
              </w:rPr>
              <w:t>Adoptar medidas de mitigación del cambio climático.</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0329AF">
            <w:pPr>
              <w:jc w:val="center"/>
              <w:rPr>
                <w:rFonts w:ascii="Arial" w:hAnsi="Arial" w:cs="Verdana,Bold"/>
                <w:bCs/>
                <w:sz w:val="20"/>
                <w:szCs w:val="18"/>
              </w:rPr>
            </w:pPr>
            <w:r>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0329AF">
            <w:pPr>
              <w:rPr>
                <w:rFonts w:ascii="Arial" w:hAnsi="Arial" w:cs="Verdana,Bold"/>
                <w:bCs/>
                <w:sz w:val="20"/>
                <w:szCs w:val="18"/>
              </w:rPr>
            </w:pPr>
            <w:r>
              <w:rPr>
                <w:rFonts w:ascii="Arial" w:hAnsi="Arial" w:cs="Verdana,Bold"/>
                <w:bCs/>
                <w:sz w:val="20"/>
                <w:szCs w:val="18"/>
              </w:rPr>
              <w:t>Adoptar medidas de adaptación al cambio climático.</w:t>
            </w:r>
          </w:p>
        </w:tc>
      </w:tr>
      <w:tr w:rsidR="00A72397" w:rsidTr="00A72397">
        <w:trPr>
          <w:trHeight w:val="1071"/>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6945" w:type="dxa"/>
            <w:gridSpan w:val="4"/>
            <w:tcBorders>
              <w:top w:val="single" w:sz="4" w:space="0" w:color="auto"/>
            </w:tcBorders>
            <w:vAlign w:val="center"/>
          </w:tcPr>
          <w:p w:rsidR="00A72397" w:rsidRPr="000329AF" w:rsidRDefault="00A72397" w:rsidP="00A72397">
            <w:pPr>
              <w:spacing w:line="276" w:lineRule="auto"/>
              <w:rPr>
                <w:rFonts w:ascii="Arial" w:hAnsi="Arial" w:cs="Arial"/>
              </w:rPr>
            </w:pPr>
            <w:r w:rsidRPr="000329AF">
              <w:rPr>
                <w:rFonts w:ascii="Arial" w:hAnsi="Arial" w:cs="Arial"/>
              </w:rPr>
              <w:t xml:space="preserve">Otras </w:t>
            </w:r>
            <w:r>
              <w:rPr>
                <w:rFonts w:ascii="Arial" w:hAnsi="Arial" w:cs="Arial"/>
              </w:rPr>
              <w:t>medidas contempladas en otros documentos de gestión y legislación para la odonatofauna en general también favorecerían a esta especie.</w:t>
            </w:r>
          </w:p>
        </w:tc>
      </w:tr>
      <w:tr w:rsidR="00A72397"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Otra información de interés</w:t>
            </w:r>
          </w:p>
        </w:tc>
        <w:tc>
          <w:tcPr>
            <w:tcW w:w="6945" w:type="dxa"/>
            <w:gridSpan w:val="4"/>
          </w:tcPr>
          <w:p w:rsidR="00A72397" w:rsidRPr="000329AF" w:rsidRDefault="00A72397" w:rsidP="005D3AFA">
            <w:pPr>
              <w:spacing w:before="240" w:line="276" w:lineRule="auto"/>
              <w:rPr>
                <w:rFonts w:ascii="Arial" w:hAnsi="Arial" w:cs="Arial"/>
              </w:rPr>
            </w:pPr>
          </w:p>
        </w:tc>
      </w:tr>
      <w:tr w:rsidR="00A72397" w:rsidRPr="002332D2"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Referencias bibliográficas</w:t>
            </w:r>
          </w:p>
        </w:tc>
        <w:tc>
          <w:tcPr>
            <w:tcW w:w="6945" w:type="dxa"/>
            <w:gridSpan w:val="4"/>
          </w:tcPr>
          <w:p w:rsidR="00A72397" w:rsidRDefault="00A72397" w:rsidP="00497219">
            <w:pPr>
              <w:spacing w:before="240" w:line="276" w:lineRule="auto"/>
              <w:ind w:left="64"/>
              <w:jc w:val="both"/>
              <w:rPr>
                <w:rFonts w:ascii="Arial" w:hAnsi="Arial" w:cs="Arial"/>
                <w:lang w:val="en-US"/>
              </w:rPr>
            </w:pPr>
            <w:proofErr w:type="spellStart"/>
            <w:r w:rsidRPr="00871359">
              <w:rPr>
                <w:rFonts w:ascii="Arial" w:hAnsi="Arial" w:cs="Arial"/>
                <w:lang w:val="en-US"/>
              </w:rPr>
              <w:t>Boudot</w:t>
            </w:r>
            <w:proofErr w:type="spellEnd"/>
            <w:r w:rsidRPr="00871359">
              <w:rPr>
                <w:rFonts w:ascii="Arial" w:hAnsi="Arial" w:cs="Arial"/>
                <w:lang w:val="en-US"/>
              </w:rPr>
              <w:t xml:space="preserve">, J-P. &amp; </w:t>
            </w:r>
            <w:proofErr w:type="spellStart"/>
            <w:r w:rsidRPr="00871359">
              <w:rPr>
                <w:rFonts w:ascii="Arial" w:hAnsi="Arial" w:cs="Arial"/>
                <w:lang w:val="en-US"/>
              </w:rPr>
              <w:t>Kalkman</w:t>
            </w:r>
            <w:proofErr w:type="spellEnd"/>
            <w:r w:rsidRPr="00871359">
              <w:rPr>
                <w:rFonts w:ascii="Arial" w:hAnsi="Arial" w:cs="Arial"/>
                <w:lang w:val="en-US"/>
              </w:rPr>
              <w:t xml:space="preserve">, V.J. (Eds.). 2015. </w:t>
            </w:r>
            <w:r w:rsidRPr="00871359">
              <w:rPr>
                <w:rFonts w:ascii="Arial" w:hAnsi="Arial" w:cs="Arial"/>
                <w:i/>
                <w:lang w:val="en-US"/>
              </w:rPr>
              <w:t>Atlas of the European dragonflies and damselflies</w:t>
            </w:r>
            <w:r w:rsidRPr="00871359">
              <w:rPr>
                <w:rFonts w:ascii="Arial" w:hAnsi="Arial" w:cs="Arial"/>
                <w:lang w:val="en-US"/>
              </w:rPr>
              <w:t>. KNNV publishing, the Netherlands.</w:t>
            </w:r>
          </w:p>
          <w:p w:rsidR="00F4222F" w:rsidRPr="0039742E" w:rsidRDefault="00F4222F" w:rsidP="00497219">
            <w:pPr>
              <w:spacing w:before="240" w:line="276" w:lineRule="auto"/>
              <w:ind w:left="64"/>
              <w:jc w:val="both"/>
              <w:rPr>
                <w:rFonts w:ascii="Arial" w:hAnsi="Arial" w:cs="Arial"/>
              </w:rPr>
            </w:pPr>
            <w:proofErr w:type="spellStart"/>
            <w:r w:rsidRPr="00871359">
              <w:rPr>
                <w:rFonts w:ascii="Arial" w:hAnsi="Arial" w:cs="Arial"/>
              </w:rPr>
              <w:t>Gainzarain</w:t>
            </w:r>
            <w:proofErr w:type="spellEnd"/>
            <w:r w:rsidRPr="00871359">
              <w:rPr>
                <w:rFonts w:ascii="Arial" w:hAnsi="Arial" w:cs="Arial"/>
              </w:rPr>
              <w:t xml:space="preserve">, J.A. 2018. </w:t>
            </w:r>
            <w:r w:rsidRPr="00871359">
              <w:rPr>
                <w:rFonts w:ascii="Arial" w:hAnsi="Arial" w:cs="Arial"/>
                <w:i/>
              </w:rPr>
              <w:t>Atlas de las libélulas de Álava.</w:t>
            </w:r>
            <w:r w:rsidRPr="00871359">
              <w:rPr>
                <w:rFonts w:ascii="Arial" w:hAnsi="Arial" w:cs="Arial"/>
              </w:rPr>
              <w:t xml:space="preserve"> Diputación Foral de Álava. Vitoria-Gasteiz.</w:t>
            </w:r>
          </w:p>
          <w:p w:rsidR="00A72397" w:rsidRDefault="00A72397" w:rsidP="00497219">
            <w:pPr>
              <w:spacing w:before="240" w:line="276" w:lineRule="auto"/>
              <w:ind w:left="64"/>
              <w:jc w:val="both"/>
              <w:rPr>
                <w:rFonts w:ascii="Arial" w:hAnsi="Arial" w:cs="Arial"/>
                <w:lang w:val="en-US"/>
              </w:rPr>
            </w:pPr>
            <w:proofErr w:type="spellStart"/>
            <w:r w:rsidRPr="00A93E01">
              <w:rPr>
                <w:rFonts w:ascii="Arial" w:hAnsi="Arial" w:cs="Arial"/>
                <w:lang w:val="en-US"/>
              </w:rPr>
              <w:t>Galliani</w:t>
            </w:r>
            <w:proofErr w:type="spellEnd"/>
            <w:r w:rsidRPr="00A93E01">
              <w:rPr>
                <w:rFonts w:ascii="Arial" w:hAnsi="Arial" w:cs="Arial"/>
                <w:lang w:val="en-US"/>
              </w:rPr>
              <w:t xml:space="preserve">, </w:t>
            </w:r>
            <w:r>
              <w:rPr>
                <w:rFonts w:ascii="Arial" w:hAnsi="Arial" w:cs="Arial"/>
                <w:lang w:val="en-US"/>
              </w:rPr>
              <w:t xml:space="preserve">C., </w:t>
            </w:r>
            <w:proofErr w:type="spellStart"/>
            <w:r>
              <w:rPr>
                <w:rFonts w:ascii="Arial" w:hAnsi="Arial" w:cs="Arial"/>
                <w:lang w:val="en-US"/>
              </w:rPr>
              <w:t>Scherini</w:t>
            </w:r>
            <w:proofErr w:type="spellEnd"/>
            <w:r>
              <w:rPr>
                <w:rFonts w:ascii="Arial" w:hAnsi="Arial" w:cs="Arial"/>
                <w:lang w:val="en-US"/>
              </w:rPr>
              <w:t xml:space="preserve">, R. &amp; </w:t>
            </w:r>
            <w:proofErr w:type="spellStart"/>
            <w:r>
              <w:rPr>
                <w:rFonts w:ascii="Arial" w:hAnsi="Arial" w:cs="Arial"/>
                <w:lang w:val="en-US"/>
              </w:rPr>
              <w:t>Piglia</w:t>
            </w:r>
            <w:proofErr w:type="spellEnd"/>
            <w:r>
              <w:rPr>
                <w:rFonts w:ascii="Arial" w:hAnsi="Arial" w:cs="Arial"/>
                <w:lang w:val="en-US"/>
              </w:rPr>
              <w:t>, A.</w:t>
            </w:r>
            <w:r w:rsidRPr="00A93E01">
              <w:rPr>
                <w:rFonts w:ascii="Arial" w:hAnsi="Arial" w:cs="Arial"/>
                <w:lang w:val="en-US"/>
              </w:rPr>
              <w:t xml:space="preserve"> 2017</w:t>
            </w:r>
            <w:r>
              <w:rPr>
                <w:rFonts w:ascii="Arial" w:hAnsi="Arial" w:cs="Arial"/>
                <w:lang w:val="en-US"/>
              </w:rPr>
              <w:t>. Dragonflies and damselflies of Europe. WBA Handbooks 7, Verona: 1-352.</w:t>
            </w:r>
          </w:p>
          <w:p w:rsidR="00A72397" w:rsidRPr="00621BEE" w:rsidRDefault="00A72397" w:rsidP="00497219">
            <w:pPr>
              <w:spacing w:before="240" w:line="276" w:lineRule="auto"/>
              <w:ind w:left="64"/>
              <w:jc w:val="both"/>
              <w:rPr>
                <w:rFonts w:ascii="Arial" w:hAnsi="Arial" w:cs="Arial"/>
                <w:lang w:val="en-US"/>
              </w:rPr>
            </w:pPr>
            <w:r w:rsidRPr="00871359">
              <w:rPr>
                <w:rFonts w:ascii="Arial" w:hAnsi="Arial" w:cs="Arial"/>
                <w:lang w:val="en-US"/>
              </w:rPr>
              <w:t xml:space="preserve">IUCN Standards and Petitions Subcommittee. 2016. </w:t>
            </w:r>
            <w:r w:rsidRPr="00871359">
              <w:rPr>
                <w:rFonts w:ascii="Arial" w:hAnsi="Arial" w:cs="Arial"/>
                <w:i/>
                <w:lang w:val="en-US"/>
              </w:rPr>
              <w:t>Guidelines for using the IUCN Red List Categories and Criteria</w:t>
            </w:r>
            <w:r w:rsidRPr="00871359">
              <w:rPr>
                <w:rFonts w:ascii="Arial" w:hAnsi="Arial" w:cs="Arial"/>
                <w:lang w:val="en-US"/>
              </w:rPr>
              <w:t>. Version 12. Prepared by the Standar</w:t>
            </w:r>
            <w:r w:rsidR="0080307F">
              <w:rPr>
                <w:rFonts w:ascii="Arial" w:hAnsi="Arial" w:cs="Arial"/>
                <w:lang w:val="en-US"/>
              </w:rPr>
              <w:t>d</w:t>
            </w:r>
            <w:r w:rsidRPr="00871359">
              <w:rPr>
                <w:rFonts w:ascii="Arial" w:hAnsi="Arial" w:cs="Arial"/>
                <w:lang w:val="en-US"/>
              </w:rPr>
              <w:t xml:space="preserve">s and Petitions Subcommittee. Downloadable from: </w:t>
            </w:r>
            <w:hyperlink r:id="rId13" w:history="1">
              <w:r w:rsidRPr="00871359">
                <w:rPr>
                  <w:rStyle w:val="Hipervnculo"/>
                  <w:rFonts w:ascii="Arial" w:hAnsi="Arial" w:cs="Arial"/>
                  <w:lang w:val="en-US"/>
                </w:rPr>
                <w:t>http://www.iucnredlist.org/documents/RedListGuidelines.pdf</w:t>
              </w:r>
            </w:hyperlink>
            <w:r w:rsidRPr="00871359">
              <w:rPr>
                <w:rFonts w:ascii="Arial" w:hAnsi="Arial" w:cs="Arial"/>
                <w:lang w:val="en-US"/>
              </w:rPr>
              <w:t>.</w:t>
            </w:r>
          </w:p>
          <w:p w:rsidR="00A72397" w:rsidRDefault="00A72397" w:rsidP="00C91A60">
            <w:pPr>
              <w:spacing w:before="240" w:line="276" w:lineRule="auto"/>
              <w:ind w:left="64"/>
              <w:jc w:val="both"/>
              <w:rPr>
                <w:rFonts w:ascii="Arial" w:hAnsi="Arial" w:cs="Arial"/>
                <w:lang w:val="en-US"/>
              </w:rPr>
            </w:pPr>
            <w:proofErr w:type="spellStart"/>
            <w:r w:rsidRPr="00A93E01">
              <w:rPr>
                <w:rFonts w:ascii="Arial" w:hAnsi="Arial" w:cs="Arial"/>
                <w:lang w:val="en-US"/>
              </w:rPr>
              <w:t>Kalkman</w:t>
            </w:r>
            <w:proofErr w:type="spellEnd"/>
            <w:r w:rsidRPr="00A93E01">
              <w:rPr>
                <w:rFonts w:ascii="Arial" w:hAnsi="Arial" w:cs="Arial"/>
                <w:lang w:val="en-US"/>
              </w:rPr>
              <w:t xml:space="preserve">, V.J., </w:t>
            </w:r>
            <w:proofErr w:type="spellStart"/>
            <w:r w:rsidRPr="00A93E01">
              <w:rPr>
                <w:rFonts w:ascii="Arial" w:hAnsi="Arial" w:cs="Arial"/>
                <w:lang w:val="en-US"/>
              </w:rPr>
              <w:t>Boudot</w:t>
            </w:r>
            <w:proofErr w:type="spellEnd"/>
            <w:r w:rsidRPr="00A93E01">
              <w:rPr>
                <w:rFonts w:ascii="Arial" w:hAnsi="Arial" w:cs="Arial"/>
                <w:lang w:val="en-US"/>
              </w:rPr>
              <w:t xml:space="preserve">, J.-P., Bernard, R., </w:t>
            </w:r>
            <w:proofErr w:type="spellStart"/>
            <w:r w:rsidRPr="00A93E01">
              <w:rPr>
                <w:rFonts w:ascii="Arial" w:hAnsi="Arial" w:cs="Arial"/>
                <w:lang w:val="en-US"/>
              </w:rPr>
              <w:t>Conze</w:t>
            </w:r>
            <w:proofErr w:type="spellEnd"/>
            <w:r w:rsidRPr="00A93E01">
              <w:rPr>
                <w:rFonts w:ascii="Arial" w:hAnsi="Arial" w:cs="Arial"/>
                <w:lang w:val="en-US"/>
              </w:rPr>
              <w:t xml:space="preserve">, K.-J., De </w:t>
            </w:r>
            <w:proofErr w:type="spellStart"/>
            <w:r w:rsidRPr="00A93E01">
              <w:rPr>
                <w:rFonts w:ascii="Arial" w:hAnsi="Arial" w:cs="Arial"/>
                <w:lang w:val="en-US"/>
              </w:rPr>
              <w:t>Knijf</w:t>
            </w:r>
            <w:proofErr w:type="spellEnd"/>
            <w:r w:rsidRPr="00A93E01">
              <w:rPr>
                <w:rFonts w:ascii="Arial" w:hAnsi="Arial" w:cs="Arial"/>
                <w:lang w:val="en-US"/>
              </w:rPr>
              <w:t xml:space="preserve">, G., </w:t>
            </w:r>
            <w:proofErr w:type="spellStart"/>
            <w:r w:rsidRPr="00A93E01">
              <w:rPr>
                <w:rFonts w:ascii="Arial" w:hAnsi="Arial" w:cs="Arial"/>
                <w:lang w:val="en-US"/>
              </w:rPr>
              <w:t>Dyatlova</w:t>
            </w:r>
            <w:proofErr w:type="spellEnd"/>
            <w:r w:rsidRPr="00A93E01">
              <w:rPr>
                <w:rFonts w:ascii="Arial" w:hAnsi="Arial" w:cs="Arial"/>
                <w:lang w:val="en-US"/>
              </w:rPr>
              <w:t xml:space="preserve">, E., Ferreira, S., </w:t>
            </w:r>
            <w:proofErr w:type="spellStart"/>
            <w:r w:rsidRPr="00A93E01">
              <w:rPr>
                <w:rFonts w:ascii="Arial" w:hAnsi="Arial" w:cs="Arial"/>
                <w:lang w:val="en-US"/>
              </w:rPr>
              <w:t>Jović</w:t>
            </w:r>
            <w:proofErr w:type="spellEnd"/>
            <w:r w:rsidRPr="00A93E01">
              <w:rPr>
                <w:rFonts w:ascii="Arial" w:hAnsi="Arial" w:cs="Arial"/>
                <w:lang w:val="en-US"/>
              </w:rPr>
              <w:t xml:space="preserve">, M., </w:t>
            </w:r>
            <w:proofErr w:type="spellStart"/>
            <w:r w:rsidRPr="00A93E01">
              <w:rPr>
                <w:rFonts w:ascii="Arial" w:hAnsi="Arial" w:cs="Arial"/>
                <w:lang w:val="en-US"/>
              </w:rPr>
              <w:t>Ott</w:t>
            </w:r>
            <w:proofErr w:type="spellEnd"/>
            <w:r w:rsidRPr="00A93E01">
              <w:rPr>
                <w:rFonts w:ascii="Arial" w:hAnsi="Arial" w:cs="Arial"/>
                <w:lang w:val="en-US"/>
              </w:rPr>
              <w:t xml:space="preserve">, J., </w:t>
            </w:r>
            <w:proofErr w:type="spellStart"/>
            <w:r w:rsidRPr="00A93E01">
              <w:rPr>
                <w:rFonts w:ascii="Arial" w:hAnsi="Arial" w:cs="Arial"/>
                <w:lang w:val="en-US"/>
              </w:rPr>
              <w:t>Riserva</w:t>
            </w:r>
            <w:r w:rsidRPr="00F72738">
              <w:rPr>
                <w:rFonts w:ascii="Arial" w:hAnsi="Arial" w:cs="Arial"/>
                <w:lang w:val="en-US"/>
              </w:rPr>
              <w:t>to</w:t>
            </w:r>
            <w:proofErr w:type="spellEnd"/>
            <w:r w:rsidRPr="00F72738">
              <w:rPr>
                <w:rFonts w:ascii="Arial" w:hAnsi="Arial" w:cs="Arial"/>
                <w:lang w:val="en-US"/>
              </w:rPr>
              <w:t xml:space="preserve">, E. &amp; </w:t>
            </w:r>
            <w:proofErr w:type="spellStart"/>
            <w:r w:rsidRPr="00F72738">
              <w:rPr>
                <w:rFonts w:ascii="Arial" w:hAnsi="Arial" w:cs="Arial"/>
                <w:lang w:val="en-US"/>
              </w:rPr>
              <w:t>Sahlén</w:t>
            </w:r>
            <w:proofErr w:type="spellEnd"/>
            <w:r w:rsidRPr="00F72738">
              <w:rPr>
                <w:rFonts w:ascii="Arial" w:hAnsi="Arial" w:cs="Arial"/>
                <w:lang w:val="en-US"/>
              </w:rPr>
              <w:t xml:space="preserve">, </w:t>
            </w:r>
            <w:r w:rsidR="0080307F">
              <w:rPr>
                <w:rFonts w:ascii="Arial" w:hAnsi="Arial" w:cs="Arial"/>
                <w:lang w:val="en-US"/>
              </w:rPr>
              <w:t>G</w:t>
            </w:r>
            <w:r w:rsidRPr="00F72738">
              <w:rPr>
                <w:rFonts w:ascii="Arial" w:hAnsi="Arial" w:cs="Arial"/>
                <w:lang w:val="en-US"/>
              </w:rPr>
              <w:t xml:space="preserve">. </w:t>
            </w:r>
            <w:r w:rsidRPr="00910653">
              <w:rPr>
                <w:rFonts w:ascii="Arial" w:hAnsi="Arial" w:cs="Arial"/>
                <w:lang w:val="en-US"/>
              </w:rPr>
              <w:t>2010. European Red List of Dragonflies. Luxembourg: Publications Office of the European Union</w:t>
            </w:r>
            <w:r>
              <w:rPr>
                <w:rFonts w:ascii="Arial" w:hAnsi="Arial" w:cs="Arial"/>
                <w:lang w:val="en-US"/>
              </w:rPr>
              <w:t>.</w:t>
            </w:r>
          </w:p>
          <w:p w:rsidR="003E48D3" w:rsidRPr="003E48D3" w:rsidRDefault="003E48D3" w:rsidP="00297516">
            <w:pPr>
              <w:spacing w:before="240" w:line="276" w:lineRule="auto"/>
              <w:ind w:left="64"/>
              <w:jc w:val="both"/>
              <w:rPr>
                <w:rFonts w:ascii="Arial" w:hAnsi="Arial" w:cs="Arial"/>
              </w:rPr>
            </w:pPr>
            <w:r w:rsidRPr="00871359">
              <w:rPr>
                <w:rFonts w:ascii="Arial" w:hAnsi="Arial" w:cs="Arial"/>
              </w:rPr>
              <w:t>Ocharan, F.J., Torralba-</w:t>
            </w:r>
            <w:proofErr w:type="spellStart"/>
            <w:r w:rsidRPr="00871359">
              <w:rPr>
                <w:rFonts w:ascii="Arial" w:hAnsi="Arial" w:cs="Arial"/>
              </w:rPr>
              <w:t>Burrial</w:t>
            </w:r>
            <w:proofErr w:type="spellEnd"/>
            <w:r w:rsidRPr="00871359">
              <w:rPr>
                <w:rFonts w:ascii="Arial" w:hAnsi="Arial" w:cs="Arial"/>
              </w:rPr>
              <w:t xml:space="preserve">, A., Cano-Villegas, F.J., </w:t>
            </w:r>
            <w:proofErr w:type="spellStart"/>
            <w:r w:rsidRPr="00871359">
              <w:rPr>
                <w:rFonts w:ascii="Arial" w:hAnsi="Arial" w:cs="Arial"/>
              </w:rPr>
              <w:t>Outomuro-Priede</w:t>
            </w:r>
            <w:proofErr w:type="spellEnd"/>
            <w:r w:rsidRPr="00871359">
              <w:rPr>
                <w:rFonts w:ascii="Arial" w:hAnsi="Arial" w:cs="Arial"/>
              </w:rPr>
              <w:t xml:space="preserve">, D., </w:t>
            </w:r>
            <w:proofErr w:type="spellStart"/>
            <w:r w:rsidRPr="00871359">
              <w:rPr>
                <w:rFonts w:ascii="Arial" w:hAnsi="Arial" w:cs="Arial"/>
              </w:rPr>
              <w:t>Azpilicueta-Amorín</w:t>
            </w:r>
            <w:proofErr w:type="spellEnd"/>
            <w:r w:rsidRPr="00871359">
              <w:rPr>
                <w:rFonts w:ascii="Arial" w:hAnsi="Arial" w:cs="Arial"/>
              </w:rPr>
              <w:t xml:space="preserve">, M. &amp; Cordero-Rivera, A. 2011. </w:t>
            </w:r>
            <w:proofErr w:type="spellStart"/>
            <w:r w:rsidRPr="00871359">
              <w:rPr>
                <w:rFonts w:ascii="Arial" w:hAnsi="Arial" w:cs="Arial"/>
                <w:i/>
              </w:rPr>
              <w:t>Onychogomphus</w:t>
            </w:r>
            <w:proofErr w:type="spellEnd"/>
            <w:r w:rsidRPr="00871359">
              <w:rPr>
                <w:rFonts w:ascii="Arial" w:hAnsi="Arial" w:cs="Arial"/>
                <w:i/>
              </w:rPr>
              <w:t xml:space="preserve"> </w:t>
            </w:r>
            <w:proofErr w:type="spellStart"/>
            <w:r w:rsidRPr="00871359">
              <w:rPr>
                <w:rFonts w:ascii="Arial" w:hAnsi="Arial" w:cs="Arial"/>
                <w:i/>
              </w:rPr>
              <w:t>costae</w:t>
            </w:r>
            <w:proofErr w:type="spellEnd"/>
            <w:r w:rsidRPr="00871359">
              <w:rPr>
                <w:rFonts w:ascii="Arial" w:hAnsi="Arial" w:cs="Arial"/>
              </w:rPr>
              <w:t xml:space="preserve"> </w:t>
            </w:r>
            <w:proofErr w:type="spellStart"/>
            <w:r w:rsidRPr="00871359">
              <w:rPr>
                <w:rFonts w:ascii="Arial" w:hAnsi="Arial" w:cs="Arial"/>
              </w:rPr>
              <w:t>Sélys</w:t>
            </w:r>
            <w:proofErr w:type="spellEnd"/>
            <w:r w:rsidRPr="00871359">
              <w:rPr>
                <w:rFonts w:ascii="Arial" w:hAnsi="Arial" w:cs="Arial"/>
              </w:rPr>
              <w:t xml:space="preserve">, 1885. En: </w:t>
            </w:r>
            <w:proofErr w:type="spellStart"/>
            <w:r w:rsidRPr="00871359">
              <w:rPr>
                <w:rFonts w:ascii="Arial" w:hAnsi="Arial" w:cs="Arial"/>
              </w:rPr>
              <w:t>Verdú</w:t>
            </w:r>
            <w:proofErr w:type="spellEnd"/>
            <w:r w:rsidRPr="00871359">
              <w:rPr>
                <w:rFonts w:ascii="Arial" w:hAnsi="Arial" w:cs="Arial"/>
              </w:rPr>
              <w:t xml:space="preserve">, J.R., </w:t>
            </w:r>
            <w:proofErr w:type="spellStart"/>
            <w:r w:rsidRPr="00871359">
              <w:rPr>
                <w:rFonts w:ascii="Arial" w:hAnsi="Arial" w:cs="Arial"/>
              </w:rPr>
              <w:t>Numa</w:t>
            </w:r>
            <w:proofErr w:type="spellEnd"/>
            <w:r w:rsidRPr="00871359">
              <w:rPr>
                <w:rFonts w:ascii="Arial" w:hAnsi="Arial" w:cs="Arial"/>
              </w:rPr>
              <w:t xml:space="preserve">, C. &amp; Galante, E. (Eds.). 2011b. </w:t>
            </w:r>
            <w:r w:rsidRPr="00871359">
              <w:rPr>
                <w:rFonts w:ascii="Arial" w:hAnsi="Arial" w:cs="Arial"/>
                <w:i/>
              </w:rPr>
              <w:t>Atlas y Libro Rojo de los Invertebrados Amenazados de España (Especies Vulnerables)</w:t>
            </w:r>
            <w:r w:rsidRPr="00871359">
              <w:rPr>
                <w:rFonts w:ascii="Arial" w:hAnsi="Arial" w:cs="Arial"/>
              </w:rPr>
              <w:t xml:space="preserve">. Dirección General para la Biodiversidad, Ministerio de Medio Ambiente, Madrid. </w:t>
            </w:r>
            <w:proofErr w:type="spellStart"/>
            <w:r w:rsidRPr="00871359">
              <w:rPr>
                <w:rFonts w:ascii="Arial" w:hAnsi="Arial" w:cs="Arial"/>
              </w:rPr>
              <w:t>Pags</w:t>
            </w:r>
            <w:proofErr w:type="spellEnd"/>
            <w:r w:rsidRPr="00871359">
              <w:rPr>
                <w:rFonts w:ascii="Arial" w:hAnsi="Arial" w:cs="Arial"/>
              </w:rPr>
              <w:t>. 570-581</w:t>
            </w:r>
            <w:r>
              <w:rPr>
                <w:rFonts w:ascii="Arial" w:hAnsi="Arial" w:cs="Arial"/>
              </w:rPr>
              <w:t>.</w:t>
            </w:r>
          </w:p>
        </w:tc>
      </w:tr>
      <w:tr w:rsidR="00A72397" w:rsidRPr="00EA3AF4"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Información digital adjunta</w:t>
            </w:r>
          </w:p>
        </w:tc>
        <w:tc>
          <w:tcPr>
            <w:tcW w:w="6945" w:type="dxa"/>
            <w:gridSpan w:val="4"/>
          </w:tcPr>
          <w:p w:rsidR="00A72397" w:rsidRPr="000329AF" w:rsidRDefault="00A72397" w:rsidP="000329AF">
            <w:pPr>
              <w:spacing w:before="240" w:line="276" w:lineRule="auto"/>
              <w:ind w:left="62"/>
              <w:rPr>
                <w:rFonts w:ascii="Arial" w:hAnsi="Arial" w:cs="Arial"/>
              </w:rPr>
            </w:pPr>
            <w:r w:rsidRPr="000329AF">
              <w:rPr>
                <w:rFonts w:ascii="Arial" w:hAnsi="Arial" w:cs="Arial"/>
              </w:rPr>
              <w:t>Imágenes en JPEG: Figura 1.</w:t>
            </w:r>
          </w:p>
          <w:p w:rsidR="00A72397" w:rsidRPr="000329AF" w:rsidRDefault="00A72397" w:rsidP="00C91A60">
            <w:pPr>
              <w:spacing w:line="276" w:lineRule="auto"/>
              <w:ind w:left="62"/>
              <w:rPr>
                <w:rFonts w:ascii="Arial" w:hAnsi="Arial" w:cs="Arial"/>
              </w:rPr>
            </w:pPr>
            <w:r w:rsidRPr="000329AF">
              <w:rPr>
                <w:rFonts w:ascii="Arial" w:hAnsi="Arial" w:cs="Arial"/>
              </w:rPr>
              <w:t xml:space="preserve">Base de datos con las citas de la especie: </w:t>
            </w:r>
            <w:r>
              <w:rPr>
                <w:rFonts w:ascii="Arial" w:hAnsi="Arial" w:cs="Arial"/>
              </w:rPr>
              <w:t>“</w:t>
            </w:r>
            <w:proofErr w:type="spellStart"/>
            <w:r w:rsidRPr="00AF1DB8">
              <w:rPr>
                <w:rFonts w:ascii="Arial" w:hAnsi="Arial" w:cs="Arial"/>
                <w:i/>
              </w:rPr>
              <w:t>BaseDatos</w:t>
            </w:r>
            <w:proofErr w:type="spellEnd"/>
            <w:r w:rsidRPr="00AF1DB8">
              <w:rPr>
                <w:rFonts w:ascii="Arial" w:hAnsi="Arial" w:cs="Arial"/>
                <w:i/>
              </w:rPr>
              <w:t xml:space="preserve"> </w:t>
            </w:r>
            <w:r w:rsidR="00446637">
              <w:rPr>
                <w:rFonts w:ascii="Arial" w:hAnsi="Arial" w:cs="Arial"/>
                <w:i/>
              </w:rPr>
              <w:t>–</w:t>
            </w:r>
            <w:r w:rsidRPr="00AF1DB8">
              <w:rPr>
                <w:rFonts w:ascii="Arial" w:hAnsi="Arial" w:cs="Arial"/>
                <w:i/>
              </w:rPr>
              <w:t xml:space="preserve"> </w:t>
            </w:r>
            <w:proofErr w:type="spellStart"/>
            <w:r w:rsidR="0017433F">
              <w:rPr>
                <w:rFonts w:ascii="Arial" w:hAnsi="Arial" w:cs="Arial"/>
                <w:i/>
              </w:rPr>
              <w:t>Onychogomphus</w:t>
            </w:r>
            <w:proofErr w:type="spellEnd"/>
            <w:r w:rsidR="0017433F">
              <w:rPr>
                <w:rFonts w:ascii="Arial" w:hAnsi="Arial" w:cs="Arial"/>
                <w:i/>
              </w:rPr>
              <w:t xml:space="preserve"> </w:t>
            </w:r>
            <w:r w:rsidR="00C91A60">
              <w:rPr>
                <w:rFonts w:ascii="Arial" w:hAnsi="Arial" w:cs="Arial"/>
                <w:i/>
              </w:rPr>
              <w:t>costae</w:t>
            </w:r>
            <w:r w:rsidRPr="00AF1DB8">
              <w:rPr>
                <w:rFonts w:ascii="Arial" w:hAnsi="Arial" w:cs="Arial"/>
                <w:i/>
              </w:rPr>
              <w:t>.xlsx</w:t>
            </w:r>
            <w:r>
              <w:rPr>
                <w:rFonts w:ascii="Arial" w:hAnsi="Arial" w:cs="Arial"/>
              </w:rPr>
              <w:t>”</w:t>
            </w:r>
            <w:r w:rsidR="00297516">
              <w:rPr>
                <w:rFonts w:ascii="Arial" w:hAnsi="Arial" w:cs="Arial"/>
              </w:rPr>
              <w:t>, incorporada al SINE</w:t>
            </w:r>
            <w:bookmarkStart w:id="0" w:name="_GoBack"/>
            <w:bookmarkEnd w:id="0"/>
          </w:p>
        </w:tc>
      </w:tr>
    </w:tbl>
    <w:p w:rsidR="005B0F8A" w:rsidRPr="000329AF" w:rsidRDefault="005B0F8A" w:rsidP="0058137E">
      <w:pPr>
        <w:spacing w:line="360" w:lineRule="auto"/>
        <w:rPr>
          <w:rFonts w:ascii="Arial" w:hAnsi="Arial" w:cs="Arial"/>
        </w:rPr>
      </w:pPr>
    </w:p>
    <w:sectPr w:rsidR="005B0F8A" w:rsidRPr="00032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C4D3B"/>
    <w:multiLevelType w:val="hybridMultilevel"/>
    <w:tmpl w:val="99B414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030E16"/>
    <w:multiLevelType w:val="hybridMultilevel"/>
    <w:tmpl w:val="19A2DB30"/>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91F645E"/>
    <w:multiLevelType w:val="hybridMultilevel"/>
    <w:tmpl w:val="4D16C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A616E2"/>
    <w:multiLevelType w:val="hybridMultilevel"/>
    <w:tmpl w:val="3670E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3147A6"/>
    <w:multiLevelType w:val="hybridMultilevel"/>
    <w:tmpl w:val="4614C756"/>
    <w:lvl w:ilvl="0" w:tplc="04C2C1CC">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AA7148D"/>
    <w:multiLevelType w:val="hybridMultilevel"/>
    <w:tmpl w:val="1910B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2476205"/>
    <w:multiLevelType w:val="hybridMultilevel"/>
    <w:tmpl w:val="487C2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B91304"/>
    <w:multiLevelType w:val="hybridMultilevel"/>
    <w:tmpl w:val="7B84F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1EF5925"/>
    <w:multiLevelType w:val="hybridMultilevel"/>
    <w:tmpl w:val="40320E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2D5405D"/>
    <w:multiLevelType w:val="hybridMultilevel"/>
    <w:tmpl w:val="7B2CD878"/>
    <w:lvl w:ilvl="0" w:tplc="0E4E4070">
      <w:start w:val="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34A65D5"/>
    <w:multiLevelType w:val="hybridMultilevel"/>
    <w:tmpl w:val="8B522B18"/>
    <w:lvl w:ilvl="0" w:tplc="CCD83200">
      <w:start w:val="5"/>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1" w15:restartNumberingAfterBreak="0">
    <w:nsid w:val="63BC60D9"/>
    <w:multiLevelType w:val="hybridMultilevel"/>
    <w:tmpl w:val="113ECE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702763D5"/>
    <w:multiLevelType w:val="hybridMultilevel"/>
    <w:tmpl w:val="777EB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B431407"/>
    <w:multiLevelType w:val="hybridMultilevel"/>
    <w:tmpl w:val="2C482CE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3"/>
  </w:num>
  <w:num w:numId="5">
    <w:abstractNumId w:val="8"/>
  </w:num>
  <w:num w:numId="6">
    <w:abstractNumId w:val="12"/>
  </w:num>
  <w:num w:numId="7">
    <w:abstractNumId w:val="4"/>
  </w:num>
  <w:num w:numId="8">
    <w:abstractNumId w:val="5"/>
  </w:num>
  <w:num w:numId="9">
    <w:abstractNumId w:val="2"/>
  </w:num>
  <w:num w:numId="10">
    <w:abstractNumId w:val="13"/>
  </w:num>
  <w:num w:numId="11">
    <w:abstractNumId w:val="6"/>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9F"/>
    <w:rsid w:val="00006C50"/>
    <w:rsid w:val="000123A9"/>
    <w:rsid w:val="0002094B"/>
    <w:rsid w:val="000329AF"/>
    <w:rsid w:val="00033F1B"/>
    <w:rsid w:val="00040EBE"/>
    <w:rsid w:val="00040F70"/>
    <w:rsid w:val="000429F0"/>
    <w:rsid w:val="00043875"/>
    <w:rsid w:val="00055236"/>
    <w:rsid w:val="00067143"/>
    <w:rsid w:val="000773DC"/>
    <w:rsid w:val="000A730B"/>
    <w:rsid w:val="000C0ABD"/>
    <w:rsid w:val="000D02A0"/>
    <w:rsid w:val="0010015A"/>
    <w:rsid w:val="0011027B"/>
    <w:rsid w:val="00146247"/>
    <w:rsid w:val="0017433F"/>
    <w:rsid w:val="00175B52"/>
    <w:rsid w:val="001B2A6C"/>
    <w:rsid w:val="001D4573"/>
    <w:rsid w:val="001E17B5"/>
    <w:rsid w:val="00221128"/>
    <w:rsid w:val="00227E37"/>
    <w:rsid w:val="002332D2"/>
    <w:rsid w:val="002419C0"/>
    <w:rsid w:val="00253E30"/>
    <w:rsid w:val="00256663"/>
    <w:rsid w:val="00280691"/>
    <w:rsid w:val="00297516"/>
    <w:rsid w:val="002B4D1E"/>
    <w:rsid w:val="002C662E"/>
    <w:rsid w:val="002D0A26"/>
    <w:rsid w:val="002E0C03"/>
    <w:rsid w:val="002E4CDC"/>
    <w:rsid w:val="00302AD9"/>
    <w:rsid w:val="00303E54"/>
    <w:rsid w:val="0033102E"/>
    <w:rsid w:val="0037083F"/>
    <w:rsid w:val="00381424"/>
    <w:rsid w:val="00386D2A"/>
    <w:rsid w:val="0039742E"/>
    <w:rsid w:val="003A26A3"/>
    <w:rsid w:val="003E2C9F"/>
    <w:rsid w:val="003E37CA"/>
    <w:rsid w:val="003E48D3"/>
    <w:rsid w:val="003E7F59"/>
    <w:rsid w:val="004014E5"/>
    <w:rsid w:val="00416B51"/>
    <w:rsid w:val="00437E4B"/>
    <w:rsid w:val="004460C3"/>
    <w:rsid w:val="00446637"/>
    <w:rsid w:val="00472F0A"/>
    <w:rsid w:val="00486767"/>
    <w:rsid w:val="00494083"/>
    <w:rsid w:val="00497219"/>
    <w:rsid w:val="004A2B4D"/>
    <w:rsid w:val="004D3DF3"/>
    <w:rsid w:val="004D71D8"/>
    <w:rsid w:val="004F52BA"/>
    <w:rsid w:val="0050341C"/>
    <w:rsid w:val="0050657D"/>
    <w:rsid w:val="00514152"/>
    <w:rsid w:val="00514EA9"/>
    <w:rsid w:val="00521AC8"/>
    <w:rsid w:val="00533CEC"/>
    <w:rsid w:val="005441F5"/>
    <w:rsid w:val="0058137E"/>
    <w:rsid w:val="00586CE0"/>
    <w:rsid w:val="005B0F8A"/>
    <w:rsid w:val="005D3AFA"/>
    <w:rsid w:val="005E6BFC"/>
    <w:rsid w:val="005E6E31"/>
    <w:rsid w:val="00613B5B"/>
    <w:rsid w:val="00621BEE"/>
    <w:rsid w:val="00624D1F"/>
    <w:rsid w:val="00642900"/>
    <w:rsid w:val="00644691"/>
    <w:rsid w:val="00650211"/>
    <w:rsid w:val="00650942"/>
    <w:rsid w:val="006679D7"/>
    <w:rsid w:val="00676BD4"/>
    <w:rsid w:val="0068728B"/>
    <w:rsid w:val="006904DA"/>
    <w:rsid w:val="006D787C"/>
    <w:rsid w:val="00736DBF"/>
    <w:rsid w:val="007617D0"/>
    <w:rsid w:val="0077099F"/>
    <w:rsid w:val="007806CE"/>
    <w:rsid w:val="00780D82"/>
    <w:rsid w:val="00790923"/>
    <w:rsid w:val="00793A7E"/>
    <w:rsid w:val="007C207E"/>
    <w:rsid w:val="007C5797"/>
    <w:rsid w:val="007C5CDC"/>
    <w:rsid w:val="007D377E"/>
    <w:rsid w:val="007D4376"/>
    <w:rsid w:val="007E5B47"/>
    <w:rsid w:val="007F2538"/>
    <w:rsid w:val="0080307F"/>
    <w:rsid w:val="00820B07"/>
    <w:rsid w:val="00820EB4"/>
    <w:rsid w:val="00821637"/>
    <w:rsid w:val="00826E79"/>
    <w:rsid w:val="008577E6"/>
    <w:rsid w:val="00871197"/>
    <w:rsid w:val="00872CCA"/>
    <w:rsid w:val="008C3364"/>
    <w:rsid w:val="008D7035"/>
    <w:rsid w:val="0090588A"/>
    <w:rsid w:val="00910653"/>
    <w:rsid w:val="00911326"/>
    <w:rsid w:val="0094292F"/>
    <w:rsid w:val="009A2651"/>
    <w:rsid w:val="009A6413"/>
    <w:rsid w:val="009B4372"/>
    <w:rsid w:val="009E77D4"/>
    <w:rsid w:val="009F28E2"/>
    <w:rsid w:val="009F66C8"/>
    <w:rsid w:val="00A30746"/>
    <w:rsid w:val="00A31056"/>
    <w:rsid w:val="00A6312D"/>
    <w:rsid w:val="00A72397"/>
    <w:rsid w:val="00A85217"/>
    <w:rsid w:val="00A87E91"/>
    <w:rsid w:val="00A93E01"/>
    <w:rsid w:val="00AB3C87"/>
    <w:rsid w:val="00AF1DB8"/>
    <w:rsid w:val="00B24285"/>
    <w:rsid w:val="00B450A2"/>
    <w:rsid w:val="00B539CE"/>
    <w:rsid w:val="00B63745"/>
    <w:rsid w:val="00B71988"/>
    <w:rsid w:val="00B82304"/>
    <w:rsid w:val="00B949C3"/>
    <w:rsid w:val="00B94D5F"/>
    <w:rsid w:val="00B97C8A"/>
    <w:rsid w:val="00BA37B2"/>
    <w:rsid w:val="00BD1657"/>
    <w:rsid w:val="00BE2860"/>
    <w:rsid w:val="00BE5112"/>
    <w:rsid w:val="00C10538"/>
    <w:rsid w:val="00C22179"/>
    <w:rsid w:val="00C56915"/>
    <w:rsid w:val="00C91A60"/>
    <w:rsid w:val="00CA3C63"/>
    <w:rsid w:val="00CB0D75"/>
    <w:rsid w:val="00CF72D3"/>
    <w:rsid w:val="00D0685A"/>
    <w:rsid w:val="00D07FF7"/>
    <w:rsid w:val="00D220AA"/>
    <w:rsid w:val="00D22607"/>
    <w:rsid w:val="00D43213"/>
    <w:rsid w:val="00D55E55"/>
    <w:rsid w:val="00D57217"/>
    <w:rsid w:val="00D77287"/>
    <w:rsid w:val="00D9245E"/>
    <w:rsid w:val="00DA7BD2"/>
    <w:rsid w:val="00DB023F"/>
    <w:rsid w:val="00E04E75"/>
    <w:rsid w:val="00E11237"/>
    <w:rsid w:val="00E27389"/>
    <w:rsid w:val="00E72ADD"/>
    <w:rsid w:val="00E86BEA"/>
    <w:rsid w:val="00EA187F"/>
    <w:rsid w:val="00EA2A26"/>
    <w:rsid w:val="00EA3AF4"/>
    <w:rsid w:val="00ED0DCB"/>
    <w:rsid w:val="00EE7D3E"/>
    <w:rsid w:val="00F02E87"/>
    <w:rsid w:val="00F37348"/>
    <w:rsid w:val="00F404CB"/>
    <w:rsid w:val="00F4222F"/>
    <w:rsid w:val="00F50BB9"/>
    <w:rsid w:val="00F513F9"/>
    <w:rsid w:val="00F63964"/>
    <w:rsid w:val="00F72738"/>
    <w:rsid w:val="00F8440A"/>
    <w:rsid w:val="00FB49A4"/>
    <w:rsid w:val="00FD0E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AE39"/>
  <w15:docId w15:val="{D83C28C0-522E-4BA2-B963-2897359C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2C9F"/>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E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364"/>
    <w:pPr>
      <w:ind w:left="720"/>
      <w:contextualSpacing/>
    </w:pPr>
  </w:style>
  <w:style w:type="character" w:styleId="Textoennegrita">
    <w:name w:val="Strong"/>
    <w:basedOn w:val="Fuentedeprrafopredeter"/>
    <w:uiPriority w:val="22"/>
    <w:qFormat/>
    <w:rsid w:val="00D77287"/>
    <w:rPr>
      <w:b/>
      <w:bCs/>
    </w:rPr>
  </w:style>
  <w:style w:type="paragraph" w:styleId="Textodeglobo">
    <w:name w:val="Balloon Text"/>
    <w:basedOn w:val="Normal"/>
    <w:link w:val="TextodegloboCar"/>
    <w:uiPriority w:val="99"/>
    <w:semiHidden/>
    <w:unhideWhenUsed/>
    <w:rsid w:val="00D572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17"/>
    <w:rPr>
      <w:rFonts w:ascii="Tahoma" w:hAnsi="Tahoma" w:cs="Tahoma"/>
      <w:sz w:val="16"/>
      <w:szCs w:val="16"/>
    </w:rPr>
  </w:style>
  <w:style w:type="character" w:styleId="Hipervnculo">
    <w:name w:val="Hyperlink"/>
    <w:basedOn w:val="Fuentedeprrafopredeter"/>
    <w:uiPriority w:val="99"/>
    <w:unhideWhenUsed/>
    <w:rsid w:val="00790923"/>
    <w:rPr>
      <w:color w:val="0563C1" w:themeColor="hyperlink"/>
      <w:u w:val="single"/>
    </w:rPr>
  </w:style>
  <w:style w:type="character" w:styleId="Textodelmarcadordeposicin">
    <w:name w:val="Placeholder Text"/>
    <w:basedOn w:val="Fuentedeprrafopredeter"/>
    <w:uiPriority w:val="99"/>
    <w:semiHidden/>
    <w:rsid w:val="0050341C"/>
    <w:rPr>
      <w:color w:val="808080"/>
    </w:rPr>
  </w:style>
  <w:style w:type="character" w:customStyle="1" w:styleId="name">
    <w:name w:val="name"/>
    <w:basedOn w:val="Fuentedeprrafopredeter"/>
    <w:rsid w:val="00033F1B"/>
  </w:style>
  <w:style w:type="character" w:customStyle="1" w:styleId="taxonname">
    <w:name w:val="taxonname"/>
    <w:basedOn w:val="Fuentedeprrafopredeter"/>
    <w:rsid w:val="00033F1B"/>
  </w:style>
  <w:style w:type="character" w:customStyle="1" w:styleId="authors">
    <w:name w:val="authors"/>
    <w:basedOn w:val="Fuentedeprrafopredeter"/>
    <w:rsid w:val="00033F1B"/>
  </w:style>
  <w:style w:type="character" w:customStyle="1" w:styleId="reference">
    <w:name w:val="reference"/>
    <w:basedOn w:val="Fuentedeprrafopredeter"/>
    <w:rsid w:val="0003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ucnredlist.org/documents/RedListGuideline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dr.eionet.europa.eu/help/habitats_art1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01CB5-6D1A-452E-B369-CCC252D5E95B}"/>
</file>

<file path=customXml/itemProps2.xml><?xml version="1.0" encoding="utf-8"?>
<ds:datastoreItem xmlns:ds="http://schemas.openxmlformats.org/officeDocument/2006/customXml" ds:itemID="{43CAE10F-6E38-4C64-A07E-E3FA831F8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A5755-A6D2-498F-BD7D-3EE1D68685D9}">
  <ds:schemaRefs>
    <ds:schemaRef ds:uri="http://schemas.microsoft.com/sharepoint/v3/contenttype/forms"/>
  </ds:schemaRefs>
</ds:datastoreItem>
</file>

<file path=customXml/itemProps4.xml><?xml version="1.0" encoding="utf-8"?>
<ds:datastoreItem xmlns:ds="http://schemas.openxmlformats.org/officeDocument/2006/customXml" ds:itemID="{EB26066F-A901-47C8-AA52-89CDC44D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1728</Words>
  <Characters>9507</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 Garin</dc:creator>
  <cp:lastModifiedBy>Rozas Ormazabal, Marta</cp:lastModifiedBy>
  <cp:revision>5</cp:revision>
  <dcterms:created xsi:type="dcterms:W3CDTF">2019-12-05T15:15:00Z</dcterms:created>
  <dcterms:modified xsi:type="dcterms:W3CDTF">2021-06-14T08:39:00Z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